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r>
        <w:rPr>
          <w:rFonts w:hint="eastAsia" w:ascii="黑体" w:hAnsi="黑体" w:eastAsia="黑体"/>
          <w:b/>
          <w:sz w:val="44"/>
          <w:szCs w:val="44"/>
        </w:rPr>
        <w:t>兴银理财【添利】理财产品</w:t>
      </w:r>
    </w:p>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993"/>
        <w:gridCol w:w="5812"/>
        <w:gridCol w:w="1984"/>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812"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1984"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兴银理财【添利】理财产品投资协议书</w:t>
            </w:r>
            <w:r>
              <w:rPr>
                <w:rFonts w:ascii="宋体" w:hAnsi="宋体"/>
                <w:kern w:val="0"/>
                <w:sz w:val="20"/>
                <w:szCs w:val="21"/>
              </w:rPr>
              <w:t xml:space="preserve"> </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兴银理财【添利】理财产品产品说明书</w:t>
            </w:r>
          </w:p>
        </w:tc>
        <w:tc>
          <w:tcPr>
            <w:tcW w:w="1984"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兴银理财【添利】理财产品（代理）销售协议书</w:t>
            </w:r>
          </w:p>
        </w:tc>
        <w:tc>
          <w:tcPr>
            <w:tcW w:w="1984"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812" w:type="dxa"/>
          </w:tcPr>
          <w:p>
            <w:pPr>
              <w:widowControl/>
              <w:spacing w:line="360" w:lineRule="auto"/>
              <w:rPr>
                <w:rFonts w:ascii="宋体" w:hAnsi="宋体"/>
                <w:szCs w:val="21"/>
              </w:rPr>
            </w:pPr>
            <w:r>
              <w:rPr>
                <w:rFonts w:hint="eastAsia" w:ascii="宋体" w:hAnsi="宋体"/>
                <w:kern w:val="0"/>
                <w:sz w:val="20"/>
                <w:szCs w:val="21"/>
              </w:rPr>
              <w:t>兴银理财【添利】理财产品风险揭示书</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812" w:type="dxa"/>
          </w:tcPr>
          <w:p>
            <w:pPr>
              <w:widowControl/>
              <w:spacing w:line="360" w:lineRule="auto"/>
              <w:rPr>
                <w:rFonts w:ascii="宋体" w:hAnsi="宋体"/>
                <w:kern w:val="0"/>
                <w:sz w:val="20"/>
                <w:szCs w:val="21"/>
              </w:rPr>
            </w:pPr>
            <w:r>
              <w:rPr>
                <w:rFonts w:hint="eastAsia" w:ascii="宋体" w:hAnsi="宋体"/>
                <w:kern w:val="0"/>
                <w:sz w:val="20"/>
                <w:szCs w:val="21"/>
              </w:rPr>
              <w:t>兴银理财【添利】理财产品投资者权益须知</w:t>
            </w:r>
          </w:p>
        </w:tc>
        <w:tc>
          <w:tcPr>
            <w:tcW w:w="1984"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pStyle w:val="58"/>
        <w:widowControl/>
        <w:snapToGrid w:val="0"/>
        <w:spacing w:line="360" w:lineRule="auto"/>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r>
        <w:br w:type="page"/>
      </w: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兴银理财【添利】理财产品</w:t>
      </w:r>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r>
        <w:rPr>
          <w:rFonts w:ascii="黑体" w:hAnsi="黑体" w:eastAsia="黑体"/>
          <w:b/>
          <w:sz w:val="28"/>
          <w:szCs w:val="28"/>
        </w:rPr>
        <w:t xml:space="preserve">                 </w:t>
      </w:r>
      <w:r>
        <w:rPr>
          <w:rFonts w:hint="eastAsia" w:ascii="黑体" w:hAnsi="黑体" w:eastAsia="黑体"/>
          <w:b/>
          <w:sz w:val="28"/>
          <w:szCs w:val="28"/>
        </w:rPr>
        <w:t>】</w:t>
      </w: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23701383"/>
      <w:bookmarkStart w:id="2" w:name="_Toc139992301"/>
      <w:bookmarkStart w:id="3" w:name="_Toc139991726"/>
      <w:bookmarkStart w:id="4" w:name="_Toc123112263"/>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23701384"/>
      <w:bookmarkStart w:id="6" w:name="_Toc139991727"/>
      <w:bookmarkStart w:id="7" w:name="_Toc123112225"/>
      <w:bookmarkStart w:id="8" w:name="_Toc139992302"/>
      <w:bookmarkStart w:id="9" w:name="_Toc123112264"/>
      <w:bookmarkStart w:id="223" w:name="_GoBack"/>
      <w:bookmarkEnd w:id="223"/>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r>
        <w:rPr>
          <w:rStyle w:val="27"/>
          <w:rFonts w:hint="eastAsia" w:ascii="宋体" w:hAnsi="宋体"/>
          <w:sz w:val="28"/>
          <w:szCs w:val="28"/>
        </w:rPr>
        <w:t>【202</w:t>
      </w:r>
      <w:r>
        <w:rPr>
          <w:rStyle w:val="27"/>
          <w:rFonts w:ascii="宋体" w:hAnsi="宋体"/>
          <w:sz w:val="28"/>
          <w:szCs w:val="28"/>
        </w:rPr>
        <w:t>3</w:t>
      </w:r>
      <w:r>
        <w:rPr>
          <w:rStyle w:val="27"/>
          <w:rFonts w:hint="eastAsia" w:ascii="宋体" w:hAnsi="宋体"/>
          <w:sz w:val="28"/>
          <w:szCs w:val="28"/>
        </w:rPr>
        <w:t>】年【</w:t>
      </w:r>
      <w:r>
        <w:rPr>
          <w:rStyle w:val="27"/>
          <w:rFonts w:hint="eastAsia" w:ascii="宋体" w:hAnsi="宋体"/>
          <w:sz w:val="28"/>
          <w:szCs w:val="28"/>
          <w:lang w:val="en-US" w:eastAsia="zh-CN"/>
        </w:rPr>
        <w:t>11</w:t>
      </w:r>
      <w:r>
        <w:rPr>
          <w:rStyle w:val="27"/>
          <w:rFonts w:hint="eastAsia" w:ascii="宋体" w:hAnsi="宋体"/>
          <w:sz w:val="28"/>
          <w:szCs w:val="28"/>
        </w:rPr>
        <w:t>】月</w:t>
      </w:r>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8522"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理财产品过往业绩不代表其未来表现，不等于理财产品实际受益，投资须谨慎。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报酬计提基准</w:t>
            </w:r>
            <w:r>
              <w:rPr>
                <w:rFonts w:hint="eastAsia" w:ascii="黑体" w:hAnsi="黑体" w:eastAsia="黑体"/>
                <w:bCs/>
                <w:sz w:val="18"/>
                <w:szCs w:val="18"/>
              </w:rPr>
              <w:t>等类似表述不代表投资者可能获得的实际收益，亦不构成产品管理人对本产品的任何收益承诺，仅供投资者进行投资决定时参考。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投资者在此同意并授权，产品管理人可根据监管要求和合同约定，为理财产品登记、反洗钱</w:t>
            </w:r>
            <w:r>
              <w:rPr>
                <w:rFonts w:ascii="黑体" w:hAnsi="黑体" w:eastAsia="黑体"/>
                <w:bCs/>
                <w:sz w:val="18"/>
                <w:szCs w:val="18"/>
              </w:rPr>
              <w:t>工作</w:t>
            </w:r>
            <w:r>
              <w:rPr>
                <w:rFonts w:hint="eastAsia" w:ascii="黑体" w:hAnsi="黑体" w:eastAsia="黑体"/>
                <w:bCs/>
                <w:sz w:val="18"/>
                <w:szCs w:val="18"/>
              </w:rPr>
              <w:t>等需要，向登记部门或监管机构及相关方提供投资者相关信息。</w:t>
            </w:r>
          </w:p>
          <w:p>
            <w:pPr>
              <w:spacing w:line="360" w:lineRule="auto"/>
              <w:rPr>
                <w:rFonts w:ascii="黑体" w:hAnsi="黑体" w:eastAsia="黑体"/>
                <w:bCs/>
                <w:kern w:val="0"/>
                <w:sz w:val="18"/>
                <w:szCs w:val="18"/>
              </w:rPr>
            </w:pPr>
            <w:r>
              <w:rPr>
                <w:rFonts w:hint="eastAsia" w:ascii="黑体" w:hAnsi="黑体" w:eastAsia="黑体"/>
                <w:bCs/>
                <w:kern w:val="0"/>
                <w:sz w:val="18"/>
                <w:szCs w:val="18"/>
              </w:rPr>
              <w:t>★</w:t>
            </w:r>
            <w:r>
              <w:rPr>
                <w:rFonts w:ascii="黑体" w:hAnsi="黑体" w:eastAsia="黑体"/>
                <w:bCs/>
                <w:kern w:val="0"/>
                <w:sz w:val="18"/>
                <w:szCs w:val="18"/>
              </w:rPr>
              <w:t xml:space="preserve"> </w:t>
            </w:r>
            <w:r>
              <w:rPr>
                <w:rFonts w:hint="eastAsia" w:ascii="黑体" w:hAnsi="黑体" w:eastAsia="黑体"/>
                <w:bCs/>
                <w:kern w:val="0"/>
                <w:sz w:val="18"/>
                <w:szCs w:val="18"/>
              </w:rPr>
              <w:t>关于理财产品信息披露的提示</w:t>
            </w:r>
          </w:p>
          <w:p>
            <w:pPr>
              <w:spacing w:line="360" w:lineRule="auto"/>
              <w:rPr>
                <w:rFonts w:ascii="黑体" w:hAnsi="黑体" w:eastAsia="黑体"/>
                <w:bCs/>
                <w:sz w:val="18"/>
                <w:szCs w:val="18"/>
              </w:rPr>
            </w:pPr>
            <w:r>
              <w:rPr>
                <w:rFonts w:hint="eastAsia" w:ascii="黑体" w:hAnsi="黑体" w:eastAsia="黑体"/>
                <w:bCs/>
                <w:kern w:val="0"/>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tabs>
                <w:tab w:val="left" w:pos="8070"/>
                <w:tab w:val="right" w:pos="8306"/>
              </w:tabs>
              <w:autoSpaceDE w:val="0"/>
              <w:autoSpaceDN w:val="0"/>
              <w:adjustRightInd w:val="0"/>
              <w:snapToGrid w:val="0"/>
              <w:spacing w:before="156" w:beforeLines="50" w:line="360" w:lineRule="auto"/>
              <w:rPr>
                <w:bCs/>
                <w:sz w:val="32"/>
              </w:rPr>
            </w:pPr>
            <w:r>
              <w:rPr>
                <w:rFonts w:hint="eastAsia" w:ascii="黑体" w:hAnsi="黑体" w:eastAsia="黑体"/>
                <w:bCs/>
                <w:kern w:val="0"/>
                <w:sz w:val="18"/>
                <w:szCs w:val="18"/>
              </w:rPr>
              <w:t>投资者对本理财产品及销售文件的内容有任何疑问，</w:t>
            </w:r>
            <w:r>
              <w:rPr>
                <w:rFonts w:hint="eastAsia" w:ascii="黑体" w:hAnsi="黑体" w:eastAsia="黑体"/>
                <w:color w:val="000000"/>
                <w:kern w:val="0"/>
                <w:sz w:val="18"/>
                <w:szCs w:val="18"/>
              </w:rPr>
              <w:t>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27"/>
      <w:bookmarkStart w:id="12" w:name="_Toc123112266"/>
      <w:bookmarkStart w:id="13" w:name="_Toc139991729"/>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投资者信息</w:t>
            </w:r>
          </w:p>
        </w:tc>
        <w:tc>
          <w:tcPr>
            <w:tcW w:w="708"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个人投资者适用</w:t>
            </w: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姓名</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shd w:val="solid" w:color="FFFFFF" w:fill="FFFFFF"/>
            <w:vAlign w:val="center"/>
          </w:tcPr>
          <w:p>
            <w:pPr>
              <w:spacing w:line="360" w:lineRule="auto"/>
              <w:jc w:val="left"/>
              <w:rPr>
                <w:rFonts w:ascii="宋体" w:hAnsi="宋体"/>
                <w:b/>
                <w:bCs/>
                <w:sz w:val="18"/>
                <w:szCs w:val="18"/>
              </w:rPr>
            </w:pPr>
          </w:p>
        </w:tc>
        <w:tc>
          <w:tcPr>
            <w:tcW w:w="1417"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shd w:val="solid" w:color="FFFFFF" w:fill="FFFFFF"/>
            <w:vAlign w:val="center"/>
          </w:tcPr>
          <w:p>
            <w:pPr>
              <w:spacing w:line="360" w:lineRule="auto"/>
              <w:jc w:val="left"/>
              <w:rPr>
                <w:rFonts w:ascii="宋体" w:hAnsi="宋体"/>
                <w:b/>
                <w:bCs/>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本公司系根据中国银保监会批准设立的由兴业银行股份有限公司全资控股的银行理财子公司。公司名称：中文为“兴银理财有限责任公司”；英文：“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。公司成立于</w:t>
            </w:r>
            <w:r>
              <w:rPr>
                <w:rFonts w:ascii="宋体" w:hAnsi="宋体"/>
                <w:bCs/>
                <w:sz w:val="18"/>
                <w:szCs w:val="18"/>
              </w:rPr>
              <w:t>2019年12月，公司注册资本为50亿元人民币，全部由兴业银行股份有限公司以货币资金认购并一次性足额缴纳。公司注册地为福建省福州市。公司主要</w:t>
            </w:r>
            <w:r>
              <w:rPr>
                <w:rFonts w:hint="eastAsia" w:ascii="宋体" w:hAnsi="宋体"/>
                <w:bCs/>
                <w:sz w:val="18"/>
                <w:szCs w:val="18"/>
              </w:rPr>
              <w:t>业务范围为：面向不特定社会公众公开发行理财产品，对受托的投资和财产进行投资和管理；面向合格投资者非公开发行理财产品，对受托的投资和财产进行投资和管理；理财顾问和咨询服务；经银保监会批准的其他业务等。</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兴业银行添利3号净值型理财产品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lang w:eastAsia="zh-CN"/>
              </w:rPr>
              <w:t>添利兴普惠2号</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（适用【E】类份额）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6389" w:type="dxa"/>
            <w:gridSpan w:val="3"/>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bCs/>
                <w:sz w:val="18"/>
                <w:szCs w:val="18"/>
              </w:rPr>
              <w:t>Z7002020000003</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w:t>
            </w:r>
            <w:r>
              <w:rPr>
                <w:rFonts w:ascii="宋体" w:hAnsi="宋体"/>
                <w:b/>
                <w:bCs/>
                <w:sz w:val="18"/>
                <w:szCs w:val="18"/>
              </w:rPr>
              <w:t>代码</w:t>
            </w:r>
          </w:p>
        </w:tc>
        <w:tc>
          <w:tcPr>
            <w:tcW w:w="6389" w:type="dxa"/>
            <w:gridSpan w:val="3"/>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90318012</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
        </w:tc>
        <w:tc>
          <w:tcPr>
            <w:tcW w:w="1690" w:type="dxa"/>
            <w:gridSpan w:val="2"/>
            <w:shd w:val="solid" w:color="FFFFFF" w:fill="FFFFFF"/>
          </w:tcPr>
          <w:p>
            <w:pPr>
              <w:spacing w:line="360" w:lineRule="auto"/>
              <w:jc w:val="left"/>
              <w:rPr>
                <w:rFonts w:hAnsi="宋体"/>
                <w:sz w:val="18"/>
                <w:szCs w:val="18"/>
              </w:rPr>
            </w:pPr>
            <w:r>
              <w:rPr>
                <w:rFonts w:hint="eastAsia" w:hAnsi="宋体"/>
                <w:b/>
                <w:sz w:val="18"/>
                <w:szCs w:val="18"/>
              </w:rPr>
              <w:t>★销售代码</w:t>
            </w:r>
          </w:p>
        </w:tc>
        <w:tc>
          <w:tcPr>
            <w:tcW w:w="6389" w:type="dxa"/>
            <w:gridSpan w:val="3"/>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fldChar w:fldCharType="begin"/>
            </w:r>
            <w:r>
              <w:instrText xml:space="preserve"> HYPERLINK "https://16.7.35.201/sam/track.jsp?infoId=C237699BA807584C015782105B4B5505&amp;infoType=MenuInfo&amp;out=0&amp;url=/jsp/app/workplace/baseworkplace/baseworkplace.jsp" \l "##" </w:instrText>
            </w:r>
            <w:r>
              <w:fldChar w:fldCharType="separate"/>
            </w:r>
            <w:r>
              <w:rPr>
                <w:rFonts w:asciiTheme="minorEastAsia" w:hAnsiTheme="minorEastAsia" w:eastAsiaTheme="minorEastAsia"/>
                <w:sz w:val="18"/>
                <w:szCs w:val="18"/>
              </w:rPr>
              <w:t>91318015</w:t>
            </w:r>
            <w:r>
              <w:rPr>
                <w:rFonts w:asciiTheme="minorEastAsia" w:hAnsiTheme="minorEastAsia" w:eastAsiaTheme="minorEastAsia"/>
                <w:sz w:val="18"/>
                <w:szCs w:val="18"/>
              </w:rPr>
              <w:fldChar w:fldCharType="end"/>
            </w:r>
            <w:r>
              <w:rPr>
                <w:rFonts w:hint="eastAsia" w:ascii="宋体" w:hAnsi="宋体"/>
                <w:bCs/>
                <w:color w:val="000000" w:themeColor="text1"/>
                <w:sz w:val="18"/>
                <w:szCs w:val="18"/>
                <w14:textFill>
                  <w14:solidFill>
                    <w14:schemeClr w14:val="tx1"/>
                  </w14:solidFill>
                </w14:textFill>
              </w:rPr>
              <w:t>】（适用【E】类份额）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r>
              <w:rPr>
                <w:rFonts w:ascii="宋体" w:hAnsi="宋体"/>
                <w:szCs w:val="18"/>
                <w:u w:val="single"/>
              </w:rPr>
              <w:t xml:space="preserve">　                     </w:t>
            </w:r>
            <w:r>
              <w:rPr>
                <w:rFonts w:hint="eastAsia" w:ascii="宋体" w:hAnsi="宋体"/>
                <w:szCs w:val="18"/>
              </w:rPr>
              <w:t>。</w:t>
            </w:r>
          </w:p>
        </w:tc>
      </w:tr>
    </w:tbl>
    <w:p>
      <w:pPr>
        <w:widowControl/>
        <w:spacing w:line="360" w:lineRule="auto"/>
        <w:jc w:val="left"/>
        <w:rPr>
          <w:bCs/>
          <w:sz w:val="32"/>
        </w:rPr>
      </w:pPr>
      <w:r>
        <w:rPr>
          <w:rFonts w:hint="eastAsia"/>
          <w:bCs/>
          <w:sz w:val="32"/>
        </w:rPr>
        <w:t xml:space="preserve"> </w:t>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sectPr>
          <w:headerReference r:id="rId3" w:type="default"/>
          <w:footerReference r:id="rId4" w:type="default"/>
          <w:pgSz w:w="11906" w:h="16838"/>
          <w:pgMar w:top="1440" w:right="1800" w:bottom="1440" w:left="1800" w:header="567" w:footer="992" w:gutter="0"/>
          <w:pgNumType w:start="0"/>
          <w:cols w:space="720" w:num="1"/>
          <w:titlePg/>
          <w:docGrid w:type="lines" w:linePitch="312" w:charSpace="0"/>
        </w:sectPr>
      </w:pP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rPr>
              <w:rFonts w:asciiTheme="minorHAnsi" w:hAnsiTheme="minorHAnsi" w:eastAsiaTheme="minorEastAsia" w:cstheme="minorBidi"/>
              <w:szCs w:val="22"/>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"_Toc79653758" </w:instrText>
          </w:r>
          <w:r>
            <w:fldChar w:fldCharType="separate"/>
          </w:r>
          <w:r>
            <w:rPr>
              <w:rStyle w:val="29"/>
              <w:rFonts w:hint="eastAsia"/>
            </w:rPr>
            <w:t>第一条</w:t>
          </w:r>
          <w:r>
            <w:rPr>
              <w:rStyle w:val="29"/>
            </w:rPr>
            <w:t xml:space="preserve">  </w:t>
          </w:r>
          <w:r>
            <w:rPr>
              <w:rStyle w:val="29"/>
              <w:rFonts w:hint="eastAsia"/>
            </w:rPr>
            <w:t>前言</w:t>
          </w:r>
          <w:r>
            <w:tab/>
          </w:r>
          <w:r>
            <w:fldChar w:fldCharType="begin"/>
          </w:r>
          <w:r>
            <w:instrText xml:space="preserve"> PAGEREF _Toc79653758 \h </w:instrText>
          </w:r>
          <w:r>
            <w:fldChar w:fldCharType="separate"/>
          </w:r>
          <w:r>
            <w:t>1</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"_Toc79653759" </w:instrText>
          </w:r>
          <w:r>
            <w:fldChar w:fldCharType="separate"/>
          </w:r>
          <w:r>
            <w:rPr>
              <w:rStyle w:val="29"/>
              <w:rFonts w:hint="eastAsia"/>
            </w:rPr>
            <w:t>第二条</w:t>
          </w:r>
          <w:r>
            <w:rPr>
              <w:rStyle w:val="29"/>
            </w:rPr>
            <w:t xml:space="preserve">  </w:t>
          </w:r>
          <w:r>
            <w:rPr>
              <w:rStyle w:val="29"/>
              <w:rFonts w:hint="eastAsia"/>
            </w:rPr>
            <w:t>双方权利义务</w:t>
          </w:r>
          <w:r>
            <w:tab/>
          </w:r>
          <w:r>
            <w:fldChar w:fldCharType="begin"/>
          </w:r>
          <w:r>
            <w:instrText xml:space="preserve"> PAGEREF _Toc79653759 \h </w:instrText>
          </w:r>
          <w:r>
            <w:fldChar w:fldCharType="separate"/>
          </w:r>
          <w:r>
            <w:t>2</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"_Toc79653760" </w:instrText>
          </w:r>
          <w:r>
            <w:fldChar w:fldCharType="separate"/>
          </w:r>
          <w:r>
            <w:rPr>
              <w:rStyle w:val="29"/>
              <w:rFonts w:hint="eastAsia"/>
            </w:rPr>
            <w:t>第三条</w:t>
          </w:r>
          <w:r>
            <w:rPr>
              <w:rStyle w:val="29"/>
            </w:rPr>
            <w:t xml:space="preserve">  </w:t>
          </w:r>
          <w:r>
            <w:rPr>
              <w:rStyle w:val="29"/>
              <w:rFonts w:hint="eastAsia"/>
            </w:rPr>
            <w:t>不可抗力</w:t>
          </w:r>
          <w:r>
            <w:tab/>
          </w:r>
          <w:r>
            <w:fldChar w:fldCharType="begin"/>
          </w:r>
          <w:r>
            <w:instrText xml:space="preserve"> PAGEREF _Toc79653760 \h </w:instrText>
          </w:r>
          <w:r>
            <w:fldChar w:fldCharType="separate"/>
          </w:r>
          <w:r>
            <w:t>4</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"_Toc79653761" </w:instrText>
          </w:r>
          <w:r>
            <w:fldChar w:fldCharType="separate"/>
          </w:r>
          <w:r>
            <w:rPr>
              <w:rStyle w:val="29"/>
              <w:rFonts w:hint="eastAsia"/>
            </w:rPr>
            <w:t>第四条</w:t>
          </w:r>
          <w:r>
            <w:rPr>
              <w:rStyle w:val="29"/>
            </w:rPr>
            <w:t xml:space="preserve">  </w:t>
          </w:r>
          <w:r>
            <w:rPr>
              <w:rStyle w:val="29"/>
              <w:rFonts w:hint="eastAsia"/>
            </w:rPr>
            <w:t>违约责任</w:t>
          </w:r>
          <w:r>
            <w:tab/>
          </w:r>
          <w:r>
            <w:fldChar w:fldCharType="begin"/>
          </w:r>
          <w:r>
            <w:instrText xml:space="preserve"> PAGEREF _Toc79653761 \h </w:instrText>
          </w:r>
          <w:r>
            <w:fldChar w:fldCharType="separate"/>
          </w:r>
          <w:r>
            <w:t>5</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"_Toc79653762" </w:instrText>
          </w:r>
          <w:r>
            <w:fldChar w:fldCharType="separate"/>
          </w:r>
          <w:r>
            <w:rPr>
              <w:rStyle w:val="29"/>
              <w:rFonts w:hint="eastAsia"/>
            </w:rPr>
            <w:t>第五条</w:t>
          </w:r>
          <w:r>
            <w:rPr>
              <w:rStyle w:val="29"/>
            </w:rPr>
            <w:t xml:space="preserve">  </w:t>
          </w:r>
          <w:r>
            <w:rPr>
              <w:rStyle w:val="29"/>
              <w:rFonts w:hint="eastAsia"/>
            </w:rPr>
            <w:t>法律适用和争议解决</w:t>
          </w:r>
          <w:r>
            <w:tab/>
          </w:r>
          <w:r>
            <w:fldChar w:fldCharType="begin"/>
          </w:r>
          <w:r>
            <w:instrText xml:space="preserve"> PAGEREF _Toc79653762 \h </w:instrText>
          </w:r>
          <w:r>
            <w:fldChar w:fldCharType="separate"/>
          </w:r>
          <w:r>
            <w:t>6</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"_Toc79653763" </w:instrText>
          </w:r>
          <w:r>
            <w:fldChar w:fldCharType="separate"/>
          </w:r>
          <w:r>
            <w:rPr>
              <w:rStyle w:val="29"/>
              <w:rFonts w:hint="eastAsia"/>
            </w:rPr>
            <w:t>第六条</w:t>
          </w:r>
          <w:r>
            <w:rPr>
              <w:rStyle w:val="29"/>
            </w:rPr>
            <w:t xml:space="preserve">  </w:t>
          </w:r>
          <w:r>
            <w:rPr>
              <w:rStyle w:val="29"/>
              <w:rFonts w:hint="eastAsia"/>
            </w:rPr>
            <w:t>协议的签署和效力</w:t>
          </w:r>
          <w:r>
            <w:tab/>
          </w:r>
          <w:r>
            <w:fldChar w:fldCharType="begin"/>
          </w:r>
          <w:r>
            <w:instrText xml:space="preserve"> PAGEREF _Toc79653763 \h </w:instrText>
          </w:r>
          <w:r>
            <w:fldChar w:fldCharType="separate"/>
          </w:r>
          <w:r>
            <w:t>7</w:t>
          </w:r>
          <w:r>
            <w:fldChar w:fldCharType="end"/>
          </w:r>
          <w:r>
            <w:fldChar w:fldCharType="end"/>
          </w:r>
        </w:p>
        <w:p>
          <w:pPr>
            <w:pStyle w:val="16"/>
            <w:rPr>
              <w:rFonts w:asciiTheme="minorHAnsi" w:hAnsiTheme="minorHAnsi" w:eastAsiaTheme="minorEastAsia" w:cstheme="minorBidi"/>
              <w:szCs w:val="22"/>
            </w:rPr>
          </w:pPr>
          <w:r>
            <w:fldChar w:fldCharType="begin"/>
          </w:r>
          <w:r>
            <w:instrText xml:space="preserve"> HYPERLINK \l "_Toc79653764" </w:instrText>
          </w:r>
          <w:r>
            <w:fldChar w:fldCharType="separate"/>
          </w:r>
          <w:r>
            <w:rPr>
              <w:rStyle w:val="29"/>
              <w:rFonts w:hint="eastAsia"/>
            </w:rPr>
            <w:t>第七条</w:t>
          </w:r>
          <w:r>
            <w:rPr>
              <w:rStyle w:val="29"/>
            </w:rPr>
            <w:t xml:space="preserve">  </w:t>
          </w:r>
          <w:r>
            <w:rPr>
              <w:rStyle w:val="29"/>
              <w:rFonts w:hint="eastAsia"/>
            </w:rPr>
            <w:t>消费者权益保护</w:t>
          </w:r>
          <w:r>
            <w:tab/>
          </w:r>
          <w:r>
            <w:fldChar w:fldCharType="begin"/>
          </w:r>
          <w:r>
            <w:instrText xml:space="preserve"> PAGEREF _Toc79653764 \h </w:instrText>
          </w:r>
          <w:r>
            <w:fldChar w:fldCharType="separate"/>
          </w:r>
          <w:r>
            <w:t>8</w:t>
          </w:r>
          <w:r>
            <w:fldChar w:fldCharType="end"/>
          </w:r>
          <w:r>
            <w:fldChar w:fldCharType="end"/>
          </w:r>
        </w:p>
        <w:p>
          <w:pPr>
            <w:spacing w:line="360" w:lineRule="auto"/>
          </w:pPr>
          <w:r>
            <w:rPr>
              <w:b/>
              <w:bCs/>
              <w:lang w:val="zh-CN"/>
            </w:rPr>
            <w:fldChar w:fldCharType="end"/>
          </w:r>
        </w:p>
      </w:sdtContent>
    </w:sdt>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pPr>
    </w:p>
    <w:p>
      <w:pPr>
        <w:widowControl/>
        <w:spacing w:line="360" w:lineRule="auto"/>
        <w:jc w:val="left"/>
        <w:rPr>
          <w:rFonts w:ascii="宋体" w:hAnsi="宋体" w:cs="仿宋_GB2312"/>
          <w:b/>
          <w:kern w:val="0"/>
          <w:sz w:val="18"/>
          <w:szCs w:val="18"/>
        </w:rPr>
        <w:sectPr>
          <w:pgSz w:w="11906" w:h="16838"/>
          <w:pgMar w:top="1440" w:right="1800" w:bottom="1440" w:left="1800" w:header="851" w:footer="992" w:gutter="0"/>
          <w:pgNumType w:start="0"/>
          <w:cols w:space="720" w:num="1"/>
          <w:docGrid w:type="lines" w:linePitch="312" w:charSpace="0"/>
        </w:sect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112268"/>
      <w:bookmarkStart w:id="15" w:name="_Toc26897"/>
      <w:bookmarkStart w:id="16" w:name="_Toc4867"/>
      <w:bookmarkStart w:id="17" w:name="_Toc123112229"/>
      <w:bookmarkStart w:id="18" w:name="_Toc6306"/>
      <w:bookmarkStart w:id="19" w:name="_Toc15517"/>
      <w:bookmarkStart w:id="20" w:name="_Toc139991730"/>
      <w:bookmarkStart w:id="21" w:name="_Toc141703880"/>
      <w:bookmarkStart w:id="22" w:name="_Toc4966"/>
      <w:bookmarkStart w:id="23" w:name="_Toc30935"/>
      <w:bookmarkStart w:id="24" w:name="_Toc123701389"/>
      <w:bookmarkStart w:id="25" w:name="_Toc29629"/>
      <w:bookmarkStart w:id="26" w:name="_Toc8727"/>
      <w:bookmarkStart w:id="27" w:name="_Toc23386"/>
      <w:bookmarkStart w:id="28" w:name="_Toc32639"/>
      <w:bookmarkStart w:id="29" w:name="_Toc79653758"/>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13020"/>
      <w:bookmarkStart w:id="33" w:name="_Toc2465"/>
      <w:bookmarkStart w:id="34" w:name="_Toc819"/>
      <w:bookmarkStart w:id="35" w:name="_Toc22864"/>
      <w:bookmarkStart w:id="36" w:name="_Toc6617"/>
      <w:bookmarkStart w:id="37" w:name="_Toc19592"/>
      <w:bookmarkStart w:id="38" w:name="_Toc21301"/>
      <w:bookmarkStart w:id="39" w:name="_Toc24860"/>
      <w:bookmarkStart w:id="40" w:name="_Toc15067"/>
      <w:bookmarkStart w:id="41" w:name="_Toc258829399"/>
      <w:bookmarkStart w:id="42" w:name="_Toc322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、订立本投资协议书的目的是保护投资人合法权益，明确投资协议书当事人的权利义务，规范理财产品运作。</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、订立本投资协议书的依据是《中华人民共和国民法典》等法律法规、《关于规范金融机构资产管理业务的指导意见》（银发</w:t>
      </w:r>
      <w:r>
        <w:rPr>
          <w:rFonts w:asciiTheme="majorEastAsia" w:hAnsiTheme="majorEastAsia" w:eastAsiaTheme="majorEastAsia"/>
          <w:bCs/>
          <w:color w:val="auto"/>
          <w:sz w:val="18"/>
          <w:szCs w:val="18"/>
        </w:rPr>
        <w:t>[2018]106</w:t>
      </w:r>
      <w:r>
        <w:rPr>
          <w:rFonts w:hint="eastAsia" w:asciiTheme="majorEastAsia" w:hAnsiTheme="majorEastAsia" w:eastAsiaTheme="majorEastAsia"/>
          <w:bCs/>
          <w:color w:val="auto"/>
          <w:sz w:val="18"/>
          <w:szCs w:val="18"/>
        </w:rPr>
        <w:t>号）、《商业银行理财业务监督管理办法》（银保监会令</w:t>
      </w:r>
      <w:r>
        <w:rPr>
          <w:rFonts w:asciiTheme="majorEastAsia" w:hAnsiTheme="majorEastAsia" w:eastAsiaTheme="majorEastAsia"/>
          <w:bCs/>
          <w:color w:val="auto"/>
          <w:sz w:val="18"/>
          <w:szCs w:val="18"/>
        </w:rPr>
        <w:t xml:space="preserve"> </w:t>
      </w:r>
      <w:r>
        <w:rPr>
          <w:rFonts w:hint="eastAsia" w:asciiTheme="majorEastAsia" w:hAnsiTheme="majorEastAsia" w:eastAsiaTheme="majorEastAsia"/>
          <w:bCs/>
          <w:color w:val="auto"/>
          <w:sz w:val="18"/>
          <w:szCs w:val="18"/>
        </w:rPr>
        <w:t>2018年第</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号）、</w:t>
      </w:r>
      <w:bookmarkStart w:id="43" w:name="_Toc59965743"/>
      <w:r>
        <w:rPr>
          <w:rFonts w:hint="eastAsia" w:asciiTheme="majorEastAsia" w:hAnsiTheme="majorEastAsia" w:eastAsiaTheme="majorEastAsia"/>
          <w:bCs/>
          <w:color w:val="auto"/>
          <w:sz w:val="18"/>
          <w:szCs w:val="18"/>
        </w:rPr>
        <w:t>《商业银行理财子公司管理办法》</w:t>
      </w:r>
      <w:bookmarkEnd w:id="43"/>
      <w:r>
        <w:rPr>
          <w:rFonts w:hint="eastAsia" w:asciiTheme="majorEastAsia" w:hAnsiTheme="majorEastAsia" w:eastAsiaTheme="majorEastAsia"/>
          <w:bCs/>
          <w:color w:val="auto"/>
          <w:sz w:val="18"/>
          <w:szCs w:val="18"/>
        </w:rPr>
        <w:t>（银保监会令2018年第7号）、《理财公司理财产品销售管理暂行办法》（银保监会令2021年第4号）等监管规定及其他有关规定。</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、订立本投资协议书的原则是平等自愿、诚实信用、充分保护投资人合法权益。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 xml:space="preserve"> </w:t>
      </w:r>
    </w:p>
    <w:p>
      <w:pPr>
        <w:pStyle w:val="43"/>
        <w:spacing w:line="360" w:lineRule="auto"/>
        <w:rPr>
          <w:rFonts w:asciiTheme="majorEastAsia" w:hAnsiTheme="majorEastAsia" w:eastAsiaTheme="majorEastAsia"/>
          <w:bCs/>
          <w:color w:val="auto"/>
          <w:sz w:val="18"/>
          <w:szCs w:val="18"/>
        </w:rPr>
      </w:pP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7965375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投资者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销售机构、产品托管人、监管机构、自律组织、理财登记备案机构、金融交易对手方、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宋体" w:hAnsi="宋体"/>
          <w:sz w:val="18"/>
          <w:szCs w:val="18"/>
        </w:rPr>
        <w:t>投资者承诺由此产生的相关风险由投资者承担</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10.</w:t>
      </w:r>
      <w:r>
        <w:rPr>
          <w:rFonts w:hint="eastAsia" w:ascii="黑体" w:hAnsi="黑体" w:eastAsia="黑体"/>
          <w:sz w:val="18"/>
          <w:szCs w:val="18"/>
        </w:rPr>
        <w:t>★</w:t>
      </w:r>
      <w:r>
        <w:rPr>
          <w:rFonts w:ascii="黑体" w:hAnsi="黑体" w:eastAsia="黑体"/>
          <w:sz w:val="18"/>
          <w:szCs w:val="18"/>
        </w:rPr>
        <w:t>未经</w:t>
      </w:r>
      <w:r>
        <w:rPr>
          <w:rFonts w:hint="eastAsia" w:ascii="黑体" w:hAnsi="黑体" w:eastAsia="黑体"/>
          <w:sz w:val="18"/>
          <w:szCs w:val="18"/>
        </w:rPr>
        <w:t>产品管理人</w:t>
      </w:r>
      <w:r>
        <w:rPr>
          <w:rFonts w:ascii="黑体" w:hAnsi="黑体" w:eastAsia="黑体"/>
          <w:sz w:val="18"/>
          <w:szCs w:val="18"/>
        </w:rPr>
        <w:t>同意，</w:t>
      </w:r>
      <w:r>
        <w:rPr>
          <w:rFonts w:hint="eastAsia" w:ascii="黑体" w:hAnsi="黑体" w:eastAsia="黑体"/>
          <w:sz w:val="18"/>
          <w:szCs w:val="18"/>
        </w:rPr>
        <w:t>投资者</w:t>
      </w:r>
      <w:r>
        <w:rPr>
          <w:rFonts w:ascii="黑体" w:hAnsi="黑体" w:eastAsia="黑体"/>
          <w:sz w:val="18"/>
          <w:szCs w:val="18"/>
        </w:rPr>
        <w:t>不得以本</w:t>
      </w:r>
      <w:r>
        <w:rPr>
          <w:rFonts w:hint="eastAsia" w:ascii="黑体" w:hAnsi="黑体" w:eastAsia="黑体"/>
          <w:sz w:val="18"/>
          <w:szCs w:val="18"/>
        </w:rPr>
        <w:t>产品</w:t>
      </w:r>
      <w:r>
        <w:rPr>
          <w:rFonts w:ascii="黑体" w:hAnsi="黑体" w:eastAsia="黑体"/>
          <w:sz w:val="18"/>
          <w:szCs w:val="18"/>
        </w:rPr>
        <w:t>项下的任何权利、利益、权益（包括单独和整体）为</w:t>
      </w:r>
      <w:r>
        <w:rPr>
          <w:rFonts w:hint="eastAsia" w:ascii="黑体" w:hAnsi="黑体" w:eastAsia="黑体"/>
          <w:sz w:val="18"/>
          <w:szCs w:val="18"/>
        </w:rPr>
        <w:t>投资者</w:t>
      </w:r>
      <w:r>
        <w:rPr>
          <w:rFonts w:ascii="黑体" w:hAnsi="黑体" w:eastAsia="黑体"/>
          <w:sz w:val="18"/>
          <w:szCs w:val="18"/>
        </w:rPr>
        <w:t>和任何第三人的债务设定担保或其他权益</w:t>
      </w:r>
      <w:r>
        <w:rPr>
          <w:rFonts w:ascii="宋体" w:hAnsi="宋体"/>
          <w:sz w:val="18"/>
          <w:szCs w:val="18"/>
        </w:rPr>
        <w:t>。</w:t>
      </w:r>
      <w:r>
        <w:rPr>
          <w:rFonts w:hint="eastAsia" w:ascii="宋体" w:hAnsi="宋体"/>
          <w:sz w:val="18"/>
          <w:szCs w:val="18"/>
        </w:rPr>
        <w:t>若投资者以本产品在兴业银行股份有限公司办理质押贷款业务时，则无需产品管理人同意。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。若投资者使用兴业银行股份有限公司提供的服务开展前述行为时，则无需产品管理人同意。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按照《产品说明书》约定向投资者进行理财产品份额的利益分配并将对应资金划入投资者约定账户后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即视为产品管理人已向投资者完成利益分配和资金的清算分配。因投资者约定账户冻结、挂失、换卡、销户、长期不动户等原因造成账户变更或异常</w:t>
      </w:r>
      <w:r>
        <w:rPr>
          <w:rFonts w:ascii="宋体" w:hAnsi="宋体"/>
          <w:sz w:val="18"/>
          <w:szCs w:val="18"/>
        </w:rPr>
        <w:t xml:space="preserve">, </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销售机构办理变更手续。如因投资者未及时办理变更手续而造成产品管理人及</w:t>
      </w:r>
      <w:r>
        <w:rPr>
          <w:rFonts w:ascii="宋体" w:hAnsi="宋体"/>
          <w:sz w:val="18"/>
          <w:szCs w:val="18"/>
        </w:rPr>
        <w:t>/或</w:t>
      </w:r>
      <w:r>
        <w:rPr>
          <w:rFonts w:hint="eastAsia" w:ascii="宋体" w:hAnsi="宋体"/>
          <w:sz w:val="18"/>
          <w:szCs w:val="18"/>
        </w:rPr>
        <w:t>销售机构无法向投资者进行正常利益分配和资金清算分配</w:t>
      </w:r>
      <w:r>
        <w:rPr>
          <w:rFonts w:ascii="宋体" w:hAnsi="宋体"/>
          <w:sz w:val="18"/>
          <w:szCs w:val="18"/>
        </w:rPr>
        <w:t xml:space="preserve">, </w:t>
      </w:r>
      <w:r>
        <w:rPr>
          <w:rFonts w:hint="eastAsia" w:ascii="宋体" w:hAnsi="宋体"/>
          <w:sz w:val="18"/>
          <w:szCs w:val="18"/>
        </w:rPr>
        <w:t>由此导致投资者损失的由投资者自行承担</w:t>
      </w:r>
      <w:r>
        <w:rPr>
          <w:rFonts w:ascii="宋体" w:hAnsi="宋体"/>
          <w:sz w:val="18"/>
          <w:szCs w:val="18"/>
        </w:rPr>
        <w:t xml:space="preserve">, </w:t>
      </w:r>
      <w:r>
        <w:rPr>
          <w:rFonts w:hint="eastAsia" w:ascii="宋体" w:hAnsi="宋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和自律组织要求，本产品的投资合作机构（包括但不限于本产品所投资的信托计划、资管计划、基金的受托人或管理人、相关投资顾问等，下同）有可能需要向监管机构、自律组织等报送投资者信息，产品管理人将应投资合作机构的申请，在必要范围内向投资合作机构、监管机构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9653760"/>
      <w:bookmarkStart w:id="47" w:name="_Toc24571"/>
      <w:bookmarkStart w:id="48" w:name="_Toc74065740"/>
      <w:bookmarkStart w:id="49" w:name="_Toc13288"/>
      <w:bookmarkStart w:id="50" w:name="_Toc18631"/>
      <w:bookmarkStart w:id="51" w:name="_Toc733"/>
      <w:bookmarkStart w:id="52" w:name="_Toc6149"/>
      <w:bookmarkStart w:id="53" w:name="_Toc20627"/>
      <w:bookmarkStart w:id="54" w:name="_Toc6683"/>
      <w:bookmarkStart w:id="55" w:name="_Toc545"/>
      <w:bookmarkStart w:id="56" w:name="_Toc20318"/>
      <w:bookmarkStart w:id="57" w:name="_Toc22708"/>
      <w:bookmarkStart w:id="58" w:name="_Toc233456272"/>
      <w:bookmarkStart w:id="59" w:name="_Toc258829400"/>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79653761"/>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79653762"/>
      <w:r>
        <w:rPr>
          <w:rFonts w:hint="eastAsia" w:ascii="Times New Roman"/>
          <w:color w:val="auto"/>
          <w:sz w:val="30"/>
        </w:rPr>
        <w:t>第五条</w:t>
      </w:r>
      <w:r>
        <w:rPr>
          <w:rFonts w:ascii="Times New Roman"/>
          <w:color w:val="auto"/>
          <w:sz w:val="30"/>
        </w:rPr>
        <w:t xml:space="preserve">  法律适用和争议解决</w:t>
      </w:r>
      <w:bookmarkEnd w:id="61"/>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（一）</w:t>
      </w:r>
      <w:r>
        <w:rPr>
          <w:color w:val="000000" w:themeColor="text1"/>
          <w:sz w:val="18"/>
          <w:szCs w:val="18"/>
          <w14:textFill>
            <w14:solidFill>
              <w14:schemeClr w14:val="tx1"/>
            </w14:solidFill>
          </w14:textFill>
        </w:rPr>
        <w:t>法律适用</w:t>
      </w:r>
    </w:p>
    <w:p>
      <w:pPr>
        <w:adjustRightInd w:val="0"/>
        <w:spacing w:line="360" w:lineRule="auto"/>
        <w:ind w:firstLine="360" w:firstLineChars="200"/>
        <w:rPr>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本协议的订立、生效、履行、解除、解释及争议的解决等均适用中华人民共和国法律（为本合同之目的，不包括香港特别行政区、澳门特别行政区和台湾地区的法律）。</w:t>
      </w:r>
    </w:p>
    <w:p>
      <w:pPr>
        <w:adjustRightInd w:val="0"/>
        <w:spacing w:line="360" w:lineRule="auto"/>
        <w:ind w:firstLine="360" w:firstLineChars="200"/>
        <w:rPr>
          <w:rFonts w:ascii="黑体" w:hAnsi="黑体" w:eastAsia="黑体"/>
          <w:sz w:val="18"/>
          <w:szCs w:val="18"/>
        </w:rPr>
      </w:pPr>
      <w:r>
        <w:rPr>
          <w:rFonts w:hint="eastAsia" w:ascii="黑体" w:hAnsi="黑体" w:eastAsia="黑体"/>
          <w:sz w:val="18"/>
          <w:szCs w:val="18"/>
        </w:rPr>
        <w:t>（二）★争议解决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color w:val="000000" w:themeColor="text1"/>
          <w:sz w:val="18"/>
          <w:szCs w:val="18"/>
          <w14:textFill>
            <w14:solidFill>
              <w14:schemeClr w14:val="tx1"/>
            </w14:solidFill>
          </w14:textFill>
        </w:rPr>
        <w:t>双方在本协议书的执行过程中发生的任何争议，应通过友好协商解决。</w:t>
      </w:r>
      <w:r>
        <w:rPr>
          <w:rFonts w:hint="eastAsia" w:ascii="黑体" w:hAnsi="黑体" w:eastAsia="黑体"/>
          <w:color w:val="000000" w:themeColor="text1"/>
          <w:sz w:val="18"/>
          <w:szCs w:val="18"/>
          <w14:textFill>
            <w14:solidFill>
              <w14:schemeClr w14:val="tx1"/>
            </w14:solidFill>
          </w14:textFill>
        </w:rPr>
        <w:t>如友好协商不成的，双方均同意以如下第【壹】种方式解决：</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（壹）向产品管理人住所地之人民法院提起诉讼。</w:t>
      </w:r>
    </w:p>
    <w:p>
      <w:pPr>
        <w:adjustRightInd w:val="0"/>
        <w:spacing w:line="360" w:lineRule="auto"/>
        <w:ind w:firstLine="360" w:firstLineChars="200"/>
        <w:rPr>
          <w:rFonts w:ascii="黑体" w:hAnsi="黑体" w:eastAsia="黑体"/>
          <w:color w:val="000000" w:themeColor="text1"/>
          <w:sz w:val="18"/>
          <w:szCs w:val="18"/>
          <w14:textFill>
            <w14:solidFill>
              <w14:schemeClr w14:val="tx1"/>
            </w14:solidFill>
          </w14:textFill>
        </w:rPr>
      </w:pPr>
      <w:r>
        <w:rPr>
          <w:rFonts w:hint="eastAsia" w:ascii="黑体" w:hAnsi="黑体" w:eastAsia="黑体"/>
          <w:color w:val="000000" w:themeColor="text1"/>
          <w:sz w:val="18"/>
          <w:szCs w:val="18"/>
          <w14:textFill>
            <w14:solidFill>
              <w14:schemeClr w14:val="tx1"/>
            </w14:solidFill>
          </w14:textFill>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7965376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，本协议自投资者签字</w:t>
      </w:r>
      <w:r>
        <w:rPr>
          <w:rFonts w:ascii="黑体" w:hAnsi="黑体" w:eastAsia="黑体"/>
          <w:sz w:val="18"/>
          <w:szCs w:val="18"/>
        </w:rPr>
        <w:t>/盖章后则为签署。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79653764"/>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
                <w:sz w:val="18"/>
                <w:szCs w:val="18"/>
              </w:rPr>
            </w:pPr>
            <w:r>
              <w:rPr>
                <w:rFonts w:hint="eastAsia" w:ascii="宋体" w:hAnsi="宋体" w:cs="宋体"/>
                <w:b/>
                <w:sz w:val="18"/>
                <w:szCs w:val="18"/>
              </w:rPr>
              <w:t>【】类</w:t>
            </w:r>
            <w:r>
              <w:rPr>
                <w:rFonts w:ascii="宋体" w:hAnsi="宋体" w:cs="宋体"/>
                <w:b/>
                <w:sz w:val="18"/>
                <w:szCs w:val="18"/>
              </w:rPr>
              <w:t>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90"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cs="宋体"/>
                <w:b/>
                <w:sz w:val="18"/>
                <w:szCs w:val="18"/>
              </w:rPr>
            </w:pPr>
            <w:r>
              <w:rPr>
                <w:rFonts w:ascii="宋体" w:hAnsi="宋体"/>
                <w:b/>
                <w:bCs/>
                <w:sz w:val="18"/>
                <w:szCs w:val="18"/>
              </w:rPr>
              <w:t>金额</w:t>
            </w:r>
            <w:r>
              <w:rPr>
                <w:rFonts w:hint="eastAsia" w:ascii="宋体" w:hAnsi="宋体"/>
                <w:b/>
                <w:bCs/>
                <w:sz w:val="18"/>
                <w:szCs w:val="18"/>
              </w:rPr>
              <w:t>：小写：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元整。</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52" w:hRule="atLeast"/>
        </w:trPr>
        <w:tc>
          <w:tcPr>
            <w:tcW w:w="1403" w:type="dxa"/>
            <w:gridSpan w:val="2"/>
            <w:vMerge w:val="continue"/>
          </w:tcPr>
          <w:p>
            <w:pPr>
              <w:autoSpaceDE w:val="0"/>
              <w:autoSpaceDN w:val="0"/>
              <w:adjustRightInd w:val="0"/>
              <w:snapToGrid w:val="0"/>
              <w:spacing w:line="360" w:lineRule="auto"/>
              <w:jc w:val="center"/>
              <w:rPr>
                <w:rFonts w:ascii="宋体" w:hAnsi="宋体"/>
                <w:b/>
                <w:sz w:val="18"/>
                <w:szCs w:val="18"/>
              </w:rPr>
            </w:pP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bCs/>
                <w:sz w:val="18"/>
                <w:szCs w:val="18"/>
              </w:rPr>
              <w:t>赎回</w:t>
            </w:r>
          </w:p>
        </w:tc>
        <w:tc>
          <w:tcPr>
            <w:tcW w:w="5987" w:type="dxa"/>
            <w:vAlign w:val="center"/>
          </w:tcPr>
          <w:p>
            <w:pPr>
              <w:autoSpaceDE w:val="0"/>
              <w:autoSpaceDN w:val="0"/>
              <w:adjustRightInd w:val="0"/>
              <w:snapToGrid w:val="0"/>
              <w:spacing w:line="360" w:lineRule="auto"/>
              <w:rPr>
                <w:rFonts w:ascii="宋体" w:hAnsi="宋体" w:cs="宋体"/>
                <w:b/>
                <w:sz w:val="18"/>
                <w:szCs w:val="18"/>
              </w:rPr>
            </w:pPr>
            <w:r>
              <w:rPr>
                <w:rFonts w:ascii="宋体" w:hAnsi="宋体"/>
                <w:b/>
                <w:bCs/>
                <w:sz w:val="18"/>
                <w:szCs w:val="18"/>
              </w:rPr>
              <w:t>份额：</w:t>
            </w:r>
            <w:r>
              <w:rPr>
                <w:rFonts w:hint="eastAsia" w:ascii="宋体" w:hAnsi="宋体"/>
                <w:b/>
                <w:bCs/>
                <w:sz w:val="18"/>
                <w:szCs w:val="18"/>
              </w:rPr>
              <w:t>小写：</w:t>
            </w:r>
            <w:r>
              <w:rPr>
                <w:rFonts w:ascii="宋体" w:hAnsi="宋体"/>
                <w:b/>
                <w:bCs/>
                <w:sz w:val="18"/>
                <w:szCs w:val="18"/>
                <w:u w:val="single"/>
              </w:rPr>
              <w:t xml:space="preserve">　          </w:t>
            </w:r>
            <w:r>
              <w:rPr>
                <w:rFonts w:ascii="宋体" w:hAnsi="宋体"/>
                <w:b/>
                <w:bCs/>
                <w:sz w:val="18"/>
                <w:szCs w:val="18"/>
              </w:rPr>
              <w:t>，大写：</w:t>
            </w:r>
            <w:r>
              <w:rPr>
                <w:rFonts w:ascii="宋体" w:hAnsi="宋体"/>
                <w:b/>
                <w:bCs/>
                <w:sz w:val="18"/>
                <w:szCs w:val="18"/>
                <w:u w:val="single"/>
              </w:rPr>
              <w:t xml:space="preserve">　  </w:t>
            </w:r>
            <w:r>
              <w:rPr>
                <w:rFonts w:hint="eastAsia" w:ascii="宋体" w:hAnsi="宋体"/>
                <w:b/>
                <w:bCs/>
                <w:sz w:val="18"/>
                <w:szCs w:val="18"/>
                <w:u w:val="single"/>
              </w:rPr>
              <w:t xml:space="preserve">          </w:t>
            </w:r>
            <w:r>
              <w:rPr>
                <w:rFonts w:ascii="宋体" w:hAnsi="宋体"/>
                <w:b/>
                <w:bCs/>
                <w:sz w:val="18"/>
                <w:szCs w:val="18"/>
                <w:u w:val="single"/>
              </w:rPr>
              <w:t xml:space="preserve">        </w:t>
            </w:r>
            <w:r>
              <w:rPr>
                <w:rFonts w:hint="eastAsia" w:ascii="宋体" w:hAnsi="宋体"/>
                <w:b/>
                <w:bCs/>
                <w:sz w:val="18"/>
                <w:szCs w:val="18"/>
              </w:rPr>
              <w:t>份。</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
                <w:sz w:val="18"/>
                <w:szCs w:val="18"/>
              </w:rPr>
            </w:pPr>
            <w:r>
              <w:rPr>
                <w:rFonts w:hint="eastAsia" w:asciiTheme="minorEastAsia" w:hAnsiTheme="minorEastAsia"/>
                <w:sz w:val="18"/>
                <w:szCs w:val="18"/>
              </w:rPr>
              <w:t xml:space="preserve">【 </w:t>
            </w:r>
            <w:r>
              <w:rPr>
                <w:rFonts w:asciiTheme="minorEastAsia" w:hAnsiTheme="minorEastAsia"/>
                <w:sz w:val="18"/>
                <w:szCs w:val="18"/>
              </w:rPr>
              <w:t>】年</w:t>
            </w:r>
            <w:r>
              <w:rPr>
                <w:rFonts w:hint="eastAsia" w:asciiTheme="minorEastAsia" w:hAnsiTheme="minorEastAsia"/>
                <w:sz w:val="18"/>
                <w:szCs w:val="18"/>
              </w:rPr>
              <w:t>【 】月【 】日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14"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b/>
                <w:sz w:val="18"/>
                <w:szCs w:val="18"/>
              </w:rPr>
            </w:pPr>
            <w:r>
              <w:rPr>
                <w:rFonts w:hint="eastAsia"/>
                <w:b/>
                <w:sz w:val="18"/>
                <w:szCs w:val="18"/>
              </w:rPr>
              <w:t>个人投资者适用</w:t>
            </w:r>
          </w:p>
        </w:tc>
        <w:tc>
          <w:tcPr>
            <w:tcW w:w="6998" w:type="dxa"/>
            <w:gridSpan w:val="2"/>
          </w:tcPr>
          <w:p>
            <w:pPr>
              <w:spacing w:line="360" w:lineRule="auto"/>
              <w:rPr>
                <w:sz w:val="18"/>
                <w:szCs w:val="18"/>
              </w:rPr>
            </w:pPr>
            <w:r>
              <w:rPr>
                <w:rFonts w:hint="eastAsia"/>
                <w:sz w:val="18"/>
                <w:szCs w:val="18"/>
              </w:rPr>
              <w:t>投资者（签字）：</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Merge w:val="continue"/>
          </w:tcPr>
          <w:p>
            <w:pPr>
              <w:spacing w:line="360" w:lineRule="auto"/>
              <w:rPr>
                <w:b/>
                <w:sz w:val="18"/>
                <w:szCs w:val="18"/>
              </w:rPr>
            </w:pPr>
          </w:p>
        </w:tc>
        <w:tc>
          <w:tcPr>
            <w:tcW w:w="851" w:type="dxa"/>
            <w:gridSpan w:val="2"/>
          </w:tcPr>
          <w:p>
            <w:pPr>
              <w:spacing w:line="360" w:lineRule="auto"/>
              <w:rPr>
                <w:b/>
                <w:sz w:val="18"/>
                <w:szCs w:val="18"/>
              </w:rPr>
            </w:pPr>
            <w:r>
              <w:rPr>
                <w:rFonts w:hint="eastAsia"/>
                <w:b/>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p>
          <w:p>
            <w:pPr>
              <w:spacing w:line="360" w:lineRule="auto"/>
              <w:rPr>
                <w:rFonts w:cs="Arial"/>
                <w:sz w:val="18"/>
                <w:szCs w:val="18"/>
              </w:rPr>
            </w:pPr>
          </w:p>
          <w:p>
            <w:pPr>
              <w:spacing w:line="360" w:lineRule="auto"/>
              <w:rPr>
                <w:rFonts w:cs="Arial"/>
                <w:sz w:val="18"/>
                <w:szCs w:val="18"/>
              </w:rPr>
            </w:pPr>
            <w:r>
              <w:rPr>
                <w:rFonts w:hint="eastAsia" w:cs="Arial"/>
                <w:sz w:val="18"/>
                <w:szCs w:val="18"/>
              </w:rPr>
              <w:t>投资者法定代表人或授权代理人（签字或盖章）：</w:t>
            </w:r>
          </w:p>
          <w:p>
            <w:pPr>
              <w:spacing w:line="360" w:lineRule="auto"/>
              <w:rPr>
                <w:b/>
                <w:sz w:val="18"/>
                <w:szCs w:val="18"/>
              </w:rPr>
            </w:pPr>
          </w:p>
          <w:p>
            <w:pPr>
              <w:spacing w:line="360" w:lineRule="auto"/>
              <w:rPr>
                <w:sz w:val="18"/>
                <w:szCs w:val="18"/>
              </w:rPr>
            </w:pPr>
            <w:r>
              <w:rPr>
                <w:rFonts w:hint="eastAsia"/>
                <w:sz w:val="18"/>
                <w:szCs w:val="18"/>
              </w:rPr>
              <w:t>日期：</w:t>
            </w:r>
          </w:p>
        </w:tc>
      </w:tr>
    </w:tbl>
    <w:p>
      <w:pPr>
        <w:spacing w:line="360" w:lineRule="auto"/>
        <w:jc w:val="left"/>
        <w:rPr>
          <w:rFonts w:hint="eastAsia" w:ascii="宋体" w:hAnsi="宋体"/>
          <w:b/>
          <w:sz w:val="18"/>
          <w:szCs w:val="18"/>
        </w:rPr>
        <w:sectPr>
          <w:headerReference r:id="rId5" w:type="default"/>
          <w:footerReference r:id="rId6" w:type="default"/>
          <w:pgSz w:w="11906" w:h="16838"/>
          <w:pgMar w:top="1440" w:right="1800" w:bottom="1440" w:left="1800" w:header="567" w:footer="992" w:gutter="0"/>
          <w:pgNumType w:start="1"/>
          <w:cols w:space="720" w:num="1"/>
          <w:docGrid w:type="lines" w:linePitch="312" w:charSpace="0"/>
        </w:sectPr>
      </w:pPr>
      <w:r>
        <w:rPr>
          <w:rFonts w:hint="eastAsia" w:ascii="宋体" w:hAnsi="宋体"/>
          <w:b/>
          <w:sz w:val="18"/>
          <w:szCs w:val="18"/>
        </w:rPr>
        <w:t>（本《投资协议书》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8255" b="13335"/>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Style w:val="27"/>
          <w:rFonts w:hint="eastAsia" w:ascii="宋体" w:hAnsi="宋体" w:cs="Times New Roman"/>
          <w:sz w:val="32"/>
          <w:szCs w:val="32"/>
        </w:rPr>
        <w:t>【202</w:t>
      </w:r>
      <w:r>
        <w:rPr>
          <w:rStyle w:val="27"/>
          <w:rFonts w:ascii="宋体" w:hAnsi="宋体" w:cs="Times New Roman"/>
          <w:sz w:val="32"/>
          <w:szCs w:val="32"/>
        </w:rPr>
        <w:t>3</w:t>
      </w:r>
      <w:r>
        <w:rPr>
          <w:rStyle w:val="27"/>
          <w:rFonts w:hint="eastAsia" w:ascii="宋体" w:hAnsi="宋体" w:cs="Times New Roman"/>
          <w:sz w:val="32"/>
          <w:szCs w:val="32"/>
        </w:rPr>
        <w:t>】年【</w:t>
      </w:r>
      <w:r>
        <w:rPr>
          <w:rStyle w:val="27"/>
          <w:rFonts w:ascii="宋体" w:hAnsi="宋体" w:cs="Times New Roman"/>
          <w:sz w:val="32"/>
          <w:szCs w:val="32"/>
        </w:rPr>
        <w:t>3</w:t>
      </w:r>
      <w:r>
        <w:rPr>
          <w:rStyle w:val="27"/>
          <w:rFonts w:hint="eastAsia" w:ascii="宋体" w:hAnsi="宋体" w:cs="Times New Roman"/>
          <w:sz w:val="32"/>
          <w:szCs w:val="32"/>
        </w:rPr>
        <w:t>】月</w:t>
      </w:r>
    </w:p>
    <w:p>
      <w:pPr>
        <w:adjustRightInd w:val="0"/>
        <w:spacing w:line="360" w:lineRule="auto"/>
        <w:jc w:val="center"/>
        <w:rPr>
          <w:rStyle w:val="27"/>
          <w:rFonts w:ascii="宋体" w:hAnsi="宋体"/>
          <w:sz w:val="32"/>
          <w:szCs w:val="32"/>
        </w:rPr>
      </w:pPr>
    </w:p>
    <w:p>
      <w:pPr>
        <w:pStyle w:val="43"/>
        <w:spacing w:line="360" w:lineRule="auto"/>
        <w:rPr>
          <w:rFonts w:hAnsi="宋体"/>
          <w:sz w:val="28"/>
          <w:szCs w:val="28"/>
        </w:rPr>
      </w:pPr>
      <w:r>
        <w:rPr>
          <w:rFonts w:hAnsi="宋体"/>
          <w:sz w:val="28"/>
          <w:szCs w:val="28"/>
        </w:rPr>
        <w:br w:type="page"/>
      </w:r>
    </w:p>
    <w:sdt>
      <w:sdtPr>
        <w:rPr>
          <w:rFonts w:ascii="Calibri" w:hAnsi="Calibri" w:eastAsia="宋体" w:cs="宋体"/>
          <w:b w:val="0"/>
          <w:bCs w:val="0"/>
          <w:color w:val="auto"/>
          <w:kern w:val="2"/>
          <w:sz w:val="21"/>
          <w:szCs w:val="22"/>
          <w:lang w:val="zh-CN"/>
        </w:rPr>
        <w:id w:val="624888713"/>
        <w:docPartObj>
          <w:docPartGallery w:val="Table of Contents"/>
          <w:docPartUnique/>
        </w:docPartObj>
      </w:sdtPr>
      <w:sdtEndPr>
        <w:rPr>
          <w:rFonts w:ascii="Calibri" w:hAnsi="Calibri" w:eastAsia="宋体" w:cs="宋体"/>
          <w:b w:val="0"/>
          <w:bCs w:val="0"/>
          <w:color w:val="auto"/>
          <w:kern w:val="2"/>
          <w:sz w:val="21"/>
          <w:szCs w:val="22"/>
          <w:lang w:val="en-US"/>
        </w:rPr>
      </w:sdtEndPr>
      <w:sdtContent>
        <w:p>
          <w:pPr>
            <w:pStyle w:val="68"/>
            <w:spacing w:line="360" w:lineRule="auto"/>
            <w:jc w:val="center"/>
          </w:pPr>
          <w:bookmarkStart w:id="66" w:name="_Toc78276587"/>
          <w:r>
            <w:rPr>
              <w:lang w:val="zh-CN"/>
            </w:rPr>
            <w:t>目录</w:t>
          </w:r>
        </w:p>
        <w:p>
          <w:pPr>
            <w:pStyle w:val="16"/>
            <w:tabs>
              <w:tab w:val="right" w:leader="dot" w:pos="8306"/>
              <w:tab w:val="clear" w:pos="8296"/>
            </w:tabs>
          </w:pPr>
          <w:r>
            <w:fldChar w:fldCharType="begin"/>
          </w:r>
          <w:r>
            <w:instrText xml:space="preserve"> TOC \o "1-3" \h \z \u </w:instrText>
          </w:r>
          <w:r>
            <w:fldChar w:fldCharType="separate"/>
          </w:r>
          <w:r>
            <w:fldChar w:fldCharType="begin"/>
          </w:r>
          <w:r>
            <w:instrText xml:space="preserve"> HYPERLINK \l "_Toc6906" </w:instrText>
          </w:r>
          <w:r>
            <w:fldChar w:fldCharType="separate"/>
          </w:r>
          <w:r>
            <w:rPr>
              <w:rFonts w:ascii="Times New Roman"/>
            </w:rPr>
            <w:t>第</w:t>
          </w:r>
          <w:r>
            <w:rPr>
              <w:rFonts w:hint="eastAsia" w:ascii="Times New Roman"/>
            </w:rPr>
            <w:t xml:space="preserve">一条 </w:t>
          </w:r>
          <w:r>
            <w:rPr>
              <w:rFonts w:ascii="Times New Roman"/>
            </w:rPr>
            <w:t xml:space="preserve"> 释义</w:t>
          </w:r>
          <w:r>
            <w:tab/>
          </w:r>
          <w:r>
            <w:fldChar w:fldCharType="begin"/>
          </w:r>
          <w:r>
            <w:instrText xml:space="preserve"> PAGEREF _Toc6906 \h </w:instrText>
          </w:r>
          <w:r>
            <w:fldChar w:fldCharType="separate"/>
          </w:r>
          <w:r>
            <w:t>1</w:t>
          </w:r>
          <w:r>
            <w:fldChar w:fldCharType="end"/>
          </w:r>
          <w:r>
            <w:fldChar w:fldCharType="end"/>
          </w:r>
        </w:p>
        <w:p>
          <w:pPr>
            <w:pStyle w:val="16"/>
            <w:tabs>
              <w:tab w:val="right" w:leader="dot" w:pos="8306"/>
              <w:tab w:val="clear" w:pos="8296"/>
            </w:tabs>
          </w:pPr>
          <w:r>
            <w:fldChar w:fldCharType="begin"/>
          </w:r>
          <w:r>
            <w:instrText xml:space="preserve"> HYPERLINK \l "_Toc29961" </w:instrText>
          </w:r>
          <w:r>
            <w:fldChar w:fldCharType="separate"/>
          </w:r>
          <w:r>
            <w:rPr>
              <w:rFonts w:hint="eastAsia" w:hAnsi="宋体"/>
              <w:szCs w:val="28"/>
            </w:rPr>
            <w:t>第二条  理财产品基本情况</w:t>
          </w:r>
          <w:r>
            <w:tab/>
          </w:r>
          <w:r>
            <w:fldChar w:fldCharType="begin"/>
          </w:r>
          <w:r>
            <w:instrText xml:space="preserve"> PAGEREF _Toc29961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"_Toc3800" </w:instrText>
          </w:r>
          <w:r>
            <w:fldChar w:fldCharType="separate"/>
          </w:r>
          <w:r>
            <w:rPr>
              <w:rFonts w:ascii="Times New Roman"/>
            </w:rPr>
            <w:t>第</w:t>
          </w:r>
          <w:r>
            <w:rPr>
              <w:rFonts w:hint="eastAsia" w:ascii="Times New Roman"/>
            </w:rPr>
            <w:t>三条</w:t>
          </w:r>
          <w:r>
            <w:rPr>
              <w:rFonts w:ascii="Times New Roman"/>
            </w:rPr>
            <w:t xml:space="preserve">  </w:t>
          </w:r>
          <w:r>
            <w:rPr>
              <w:rFonts w:hint="eastAsia" w:ascii="Times New Roman"/>
            </w:rPr>
            <w:t>理财产品的认购</w:t>
          </w:r>
          <w:r>
            <w:tab/>
          </w:r>
          <w:r>
            <w:fldChar w:fldCharType="begin"/>
          </w:r>
          <w:r>
            <w:instrText xml:space="preserve"> PAGEREF _Toc3800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"_Toc28773" </w:instrText>
          </w:r>
          <w:r>
            <w:fldChar w:fldCharType="separate"/>
          </w:r>
          <w:r>
            <w:rPr>
              <w:rFonts w:hint="eastAsia" w:ascii="Times New Roman"/>
            </w:rPr>
            <w:t xml:space="preserve">第四条 </w:t>
          </w:r>
          <w:r>
            <w:rPr>
              <w:rFonts w:ascii="Times New Roman"/>
            </w:rPr>
            <w:t xml:space="preserve"> </w:t>
          </w:r>
          <w:r>
            <w:rPr>
              <w:rFonts w:hint="eastAsia" w:ascii="Times New Roman"/>
            </w:rPr>
            <w:t>理财产品的申购与赎回</w:t>
          </w:r>
          <w:r>
            <w:tab/>
          </w:r>
          <w:r>
            <w:fldChar w:fldCharType="begin"/>
          </w:r>
          <w:r>
            <w:instrText xml:space="preserve"> PAGEREF _Toc28773 \h </w:instrText>
          </w:r>
          <w:r>
            <w:fldChar w:fldCharType="separate"/>
          </w:r>
          <w:r>
            <w:t>14</w:t>
          </w:r>
          <w:r>
            <w:fldChar w:fldCharType="end"/>
          </w:r>
          <w:r>
            <w:fldChar w:fldCharType="end"/>
          </w:r>
        </w:p>
        <w:p>
          <w:pPr>
            <w:pStyle w:val="16"/>
            <w:tabs>
              <w:tab w:val="right" w:leader="dot" w:pos="8306"/>
              <w:tab w:val="clear" w:pos="8296"/>
            </w:tabs>
          </w:pPr>
          <w:r>
            <w:fldChar w:fldCharType="begin"/>
          </w:r>
          <w:r>
            <w:instrText xml:space="preserve"> HYPERLINK \l "_Toc2561" </w:instrText>
          </w:r>
          <w:r>
            <w:fldChar w:fldCharType="separate"/>
          </w:r>
          <w:r>
            <w:rPr>
              <w:rFonts w:ascii="Times New Roman"/>
            </w:rPr>
            <w:t>第</w:t>
          </w:r>
          <w:r>
            <w:rPr>
              <w:rFonts w:hint="eastAsia" w:ascii="Times New Roman"/>
            </w:rPr>
            <w:t>五条</w:t>
          </w:r>
          <w:r>
            <w:rPr>
              <w:rFonts w:ascii="Times New Roman"/>
            </w:rPr>
            <w:t xml:space="preserve">  </w:t>
          </w:r>
          <w:r>
            <w:rPr>
              <w:rFonts w:hint="eastAsia" w:ascii="Times New Roman"/>
            </w:rPr>
            <w:t>理财产品的投资</w:t>
          </w:r>
          <w:r>
            <w:tab/>
          </w:r>
          <w:r>
            <w:fldChar w:fldCharType="begin"/>
          </w:r>
          <w:r>
            <w:instrText xml:space="preserve"> PAGEREF _Toc2561 \h </w:instrText>
          </w:r>
          <w:r>
            <w:fldChar w:fldCharType="separate"/>
          </w:r>
          <w:r>
            <w:t>18</w:t>
          </w:r>
          <w:r>
            <w:fldChar w:fldCharType="end"/>
          </w:r>
          <w:r>
            <w:fldChar w:fldCharType="end"/>
          </w:r>
        </w:p>
        <w:p>
          <w:pPr>
            <w:pStyle w:val="16"/>
            <w:tabs>
              <w:tab w:val="right" w:leader="dot" w:pos="8306"/>
              <w:tab w:val="clear" w:pos="8296"/>
            </w:tabs>
          </w:pPr>
          <w:r>
            <w:fldChar w:fldCharType="begin"/>
          </w:r>
          <w:r>
            <w:instrText xml:space="preserve"> HYPERLINK \l "_Toc24783" </w:instrText>
          </w:r>
          <w:r>
            <w:fldChar w:fldCharType="separate"/>
          </w:r>
          <w:r>
            <w:rPr>
              <w:rFonts w:ascii="Times New Roman"/>
            </w:rPr>
            <w:t>第</w:t>
          </w:r>
          <w:r>
            <w:rPr>
              <w:rFonts w:hint="eastAsia" w:ascii="Times New Roman"/>
            </w:rPr>
            <w:t>六条</w:t>
          </w:r>
          <w:r>
            <w:rPr>
              <w:rFonts w:ascii="Times New Roman"/>
            </w:rPr>
            <w:t xml:space="preserve">  </w:t>
          </w:r>
          <w:r>
            <w:rPr>
              <w:rFonts w:hint="eastAsia" w:ascii="Times New Roman"/>
            </w:rPr>
            <w:t>理财产品的资产</w:t>
          </w:r>
          <w:r>
            <w:tab/>
          </w:r>
          <w:r>
            <w:fldChar w:fldCharType="begin"/>
          </w:r>
          <w:r>
            <w:instrText xml:space="preserve"> PAGEREF _Toc24783 \h </w:instrText>
          </w:r>
          <w:r>
            <w:fldChar w:fldCharType="separate"/>
          </w:r>
          <w:r>
            <w:t>22</w:t>
          </w:r>
          <w:r>
            <w:fldChar w:fldCharType="end"/>
          </w:r>
          <w:r>
            <w:fldChar w:fldCharType="end"/>
          </w:r>
        </w:p>
        <w:p>
          <w:pPr>
            <w:pStyle w:val="16"/>
            <w:tabs>
              <w:tab w:val="right" w:leader="dot" w:pos="8306"/>
              <w:tab w:val="clear" w:pos="8296"/>
            </w:tabs>
          </w:pPr>
          <w:r>
            <w:fldChar w:fldCharType="begin"/>
          </w:r>
          <w:r>
            <w:instrText xml:space="preserve"> HYPERLINK \l "_Toc5681" </w:instrText>
          </w:r>
          <w:r>
            <w:fldChar w:fldCharType="separate"/>
          </w:r>
          <w:r>
            <w:rPr>
              <w:rFonts w:ascii="Times New Roman"/>
            </w:rPr>
            <w:t>第</w:t>
          </w:r>
          <w:r>
            <w:rPr>
              <w:rFonts w:hint="eastAsia" w:ascii="Times New Roman"/>
            </w:rPr>
            <w:t>七条</w:t>
          </w:r>
          <w:r>
            <w:rPr>
              <w:rFonts w:ascii="Times New Roman"/>
            </w:rPr>
            <w:t xml:space="preserve">  </w:t>
          </w:r>
          <w:r>
            <w:rPr>
              <w:rFonts w:hint="eastAsia" w:ascii="Times New Roman"/>
            </w:rPr>
            <w:t>理财产品项下资产的估值</w:t>
          </w:r>
          <w:r>
            <w:tab/>
          </w:r>
          <w:r>
            <w:fldChar w:fldCharType="begin"/>
          </w:r>
          <w:r>
            <w:instrText xml:space="preserve"> PAGEREF _Toc5681 \h </w:instrText>
          </w:r>
          <w:r>
            <w:fldChar w:fldCharType="separate"/>
          </w:r>
          <w:r>
            <w:t>23</w:t>
          </w:r>
          <w:r>
            <w:fldChar w:fldCharType="end"/>
          </w:r>
          <w:r>
            <w:fldChar w:fldCharType="end"/>
          </w:r>
        </w:p>
        <w:p>
          <w:pPr>
            <w:pStyle w:val="16"/>
            <w:tabs>
              <w:tab w:val="right" w:leader="dot" w:pos="8306"/>
              <w:tab w:val="clear" w:pos="8296"/>
            </w:tabs>
          </w:pPr>
          <w:r>
            <w:fldChar w:fldCharType="begin"/>
          </w:r>
          <w:r>
            <w:instrText xml:space="preserve"> HYPERLINK \l "_Toc6810" </w:instrText>
          </w:r>
          <w:r>
            <w:fldChar w:fldCharType="separate"/>
          </w:r>
          <w:r>
            <w:rPr>
              <w:rFonts w:ascii="Times New Roman"/>
            </w:rPr>
            <w:t>第</w:t>
          </w:r>
          <w:r>
            <w:rPr>
              <w:rFonts w:hint="eastAsia" w:ascii="Times New Roman"/>
            </w:rPr>
            <w:t>八条</w:t>
          </w:r>
          <w:r>
            <w:rPr>
              <w:rFonts w:ascii="Times New Roman"/>
            </w:rPr>
            <w:t xml:space="preserve">  </w:t>
          </w:r>
          <w:r>
            <w:rPr>
              <w:rFonts w:hint="eastAsia" w:ascii="Times New Roman"/>
            </w:rPr>
            <w:t>理财产品的利益分配</w:t>
          </w:r>
          <w:r>
            <w:tab/>
          </w:r>
          <w:r>
            <w:fldChar w:fldCharType="begin"/>
          </w:r>
          <w:r>
            <w:instrText xml:space="preserve"> PAGEREF _Toc6810 \h </w:instrText>
          </w:r>
          <w:r>
            <w:fldChar w:fldCharType="separate"/>
          </w:r>
          <w:r>
            <w:t>25</w:t>
          </w:r>
          <w:r>
            <w:fldChar w:fldCharType="end"/>
          </w:r>
          <w:r>
            <w:fldChar w:fldCharType="end"/>
          </w:r>
        </w:p>
        <w:p>
          <w:pPr>
            <w:pStyle w:val="16"/>
            <w:tabs>
              <w:tab w:val="right" w:leader="dot" w:pos="8306"/>
              <w:tab w:val="clear" w:pos="8296"/>
            </w:tabs>
          </w:pPr>
          <w:r>
            <w:fldChar w:fldCharType="begin"/>
          </w:r>
          <w:r>
            <w:instrText xml:space="preserve"> HYPERLINK \l "_Toc27112" </w:instrText>
          </w:r>
          <w:r>
            <w:fldChar w:fldCharType="separate"/>
          </w:r>
          <w:r>
            <w:rPr>
              <w:rFonts w:ascii="Times New Roman"/>
            </w:rPr>
            <w:t>第</w:t>
          </w:r>
          <w:r>
            <w:rPr>
              <w:rFonts w:hint="eastAsia" w:ascii="Times New Roman"/>
            </w:rPr>
            <w:t>九条</w:t>
          </w:r>
          <w:r>
            <w:rPr>
              <w:rFonts w:ascii="Times New Roman"/>
            </w:rPr>
            <w:t xml:space="preserve">  </w:t>
          </w:r>
          <w:r>
            <w:rPr>
              <w:rFonts w:hint="eastAsia" w:ascii="Times New Roman"/>
            </w:rPr>
            <w:t>理财产品的费用与税收</w:t>
          </w:r>
          <w:r>
            <w:tab/>
          </w:r>
          <w:r>
            <w:fldChar w:fldCharType="begin"/>
          </w:r>
          <w:r>
            <w:instrText xml:space="preserve"> PAGEREF _Toc27112 \h </w:instrText>
          </w:r>
          <w:r>
            <w:fldChar w:fldCharType="separate"/>
          </w:r>
          <w:r>
            <w:t>27</w:t>
          </w:r>
          <w:r>
            <w:fldChar w:fldCharType="end"/>
          </w:r>
          <w:r>
            <w:fldChar w:fldCharType="end"/>
          </w:r>
        </w:p>
        <w:p>
          <w:pPr>
            <w:pStyle w:val="16"/>
            <w:tabs>
              <w:tab w:val="right" w:leader="dot" w:pos="8306"/>
              <w:tab w:val="clear" w:pos="8296"/>
            </w:tabs>
          </w:pPr>
          <w:r>
            <w:fldChar w:fldCharType="begin"/>
          </w:r>
          <w:r>
            <w:instrText xml:space="preserve"> HYPERLINK \l "_Toc18383" </w:instrText>
          </w:r>
          <w:r>
            <w:fldChar w:fldCharType="separate"/>
          </w:r>
          <w:r>
            <w:rPr>
              <w:rFonts w:hint="eastAsia"/>
            </w:rPr>
            <w:t>第十条</w:t>
          </w:r>
          <w:r>
            <w:t xml:space="preserve">  </w:t>
          </w:r>
          <w:r>
            <w:rPr>
              <w:rFonts w:hint="eastAsia"/>
            </w:rPr>
            <w:t>理财产品的终止与清算</w:t>
          </w:r>
          <w:r>
            <w:tab/>
          </w:r>
          <w:r>
            <w:fldChar w:fldCharType="begin"/>
          </w:r>
          <w:r>
            <w:instrText xml:space="preserve"> PAGEREF _Toc18383 \h </w:instrText>
          </w:r>
          <w:r>
            <w:fldChar w:fldCharType="separate"/>
          </w:r>
          <w:r>
            <w:t>29</w:t>
          </w:r>
          <w:r>
            <w:fldChar w:fldCharType="end"/>
          </w:r>
          <w:r>
            <w:fldChar w:fldCharType="end"/>
          </w:r>
        </w:p>
        <w:p>
          <w:pPr>
            <w:pStyle w:val="16"/>
            <w:tabs>
              <w:tab w:val="right" w:leader="dot" w:pos="8306"/>
              <w:tab w:val="clear" w:pos="8296"/>
            </w:tabs>
          </w:pPr>
          <w:r>
            <w:fldChar w:fldCharType="begin"/>
          </w:r>
          <w:r>
            <w:instrText xml:space="preserve"> HYPERLINK \l "_Toc26192" </w:instrText>
          </w:r>
          <w:r>
            <w:fldChar w:fldCharType="separate"/>
          </w:r>
          <w:r>
            <w:rPr>
              <w:rFonts w:ascii="Times New Roman"/>
            </w:rPr>
            <w:t>第十</w:t>
          </w:r>
          <w:r>
            <w:rPr>
              <w:rFonts w:hint="eastAsia" w:ascii="Times New Roman"/>
            </w:rPr>
            <w:t>一条</w:t>
          </w:r>
          <w:r>
            <w:rPr>
              <w:rFonts w:ascii="Times New Roman"/>
            </w:rPr>
            <w:t xml:space="preserve">  </w:t>
          </w:r>
          <w:r>
            <w:rPr>
              <w:rFonts w:hint="eastAsia" w:ascii="Times New Roman"/>
            </w:rPr>
            <w:t>理财产品的信息披露</w:t>
          </w:r>
          <w:r>
            <w:tab/>
          </w:r>
          <w:r>
            <w:fldChar w:fldCharType="begin"/>
          </w:r>
          <w:r>
            <w:instrText xml:space="preserve"> PAGEREF _Toc26192 \h </w:instrText>
          </w:r>
          <w:r>
            <w:fldChar w:fldCharType="separate"/>
          </w:r>
          <w:r>
            <w:t>31</w:t>
          </w:r>
          <w:r>
            <w:fldChar w:fldCharType="end"/>
          </w:r>
          <w:r>
            <w:fldChar w:fldCharType="end"/>
          </w:r>
        </w:p>
        <w:p>
          <w:pPr>
            <w:pStyle w:val="16"/>
            <w:tabs>
              <w:tab w:val="right" w:leader="dot" w:pos="8306"/>
              <w:tab w:val="clear" w:pos="8296"/>
            </w:tabs>
          </w:pPr>
          <w:r>
            <w:fldChar w:fldCharType="begin"/>
          </w:r>
          <w:r>
            <w:instrText xml:space="preserve"> HYPERLINK \l "_Toc20251" </w:instrText>
          </w:r>
          <w:r>
            <w:fldChar w:fldCharType="separate"/>
          </w:r>
          <w:r>
            <w:rPr>
              <w:rFonts w:hint="eastAsia" w:ascii="Times New Roman"/>
            </w:rPr>
            <w:t>第十二条</w:t>
          </w:r>
          <w:r>
            <w:rPr>
              <w:rFonts w:ascii="Times New Roman"/>
            </w:rPr>
            <w:t xml:space="preserve">  </w:t>
          </w:r>
          <w:r>
            <w:rPr>
              <w:rFonts w:hint="eastAsia" w:ascii="Times New Roman"/>
            </w:rPr>
            <w:t>理财产品</w:t>
          </w:r>
          <w:r>
            <w:rPr>
              <w:rFonts w:ascii="Times New Roman"/>
            </w:rPr>
            <w:t>的风险揭示</w:t>
          </w:r>
          <w:r>
            <w:tab/>
          </w:r>
          <w:r>
            <w:fldChar w:fldCharType="begin"/>
          </w:r>
          <w:r>
            <w:instrText xml:space="preserve"> PAGEREF _Toc20251 \h </w:instrText>
          </w:r>
          <w:r>
            <w:fldChar w:fldCharType="separate"/>
          </w:r>
          <w:r>
            <w:t>33</w:t>
          </w:r>
          <w:r>
            <w:fldChar w:fldCharType="end"/>
          </w:r>
          <w:r>
            <w:fldChar w:fldCharType="end"/>
          </w:r>
        </w:p>
        <w:p>
          <w:pPr>
            <w:spacing w:line="360" w:lineRule="auto"/>
          </w:pPr>
          <w: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7" w:type="default"/>
          <w:footerReference r:id="rId8" w:type="default"/>
          <w:pgSz w:w="11906" w:h="16838"/>
          <w:pgMar w:top="1276" w:right="1800" w:bottom="1418" w:left="1800" w:header="567" w:footer="850" w:gutter="0"/>
          <w:cols w:space="425" w:num="1"/>
          <w:docGrid w:type="lines" w:linePitch="312" w:charSpace="0"/>
        </w:sectPr>
      </w:pPr>
    </w:p>
    <w:p>
      <w:pPr>
        <w:pStyle w:val="2"/>
        <w:spacing w:before="0" w:after="0" w:line="360" w:lineRule="auto"/>
        <w:jc w:val="center"/>
        <w:rPr>
          <w:rFonts w:ascii="Times New Roman"/>
          <w:sz w:val="30"/>
        </w:rPr>
      </w:pPr>
      <w:bookmarkStart w:id="67" w:name="_Toc6906"/>
      <w:r>
        <w:rPr>
          <w:rFonts w:ascii="Times New Roman"/>
          <w:sz w:val="30"/>
        </w:rPr>
        <w:t>第</w:t>
      </w:r>
      <w:r>
        <w:rPr>
          <w:rFonts w:hint="eastAsia" w:ascii="Times New Roman"/>
          <w:sz w:val="30"/>
        </w:rPr>
        <w:t xml:space="preserve">一条 </w:t>
      </w:r>
      <w:r>
        <w:rPr>
          <w:rFonts w:ascii="Times New Roman"/>
          <w:sz w:val="30"/>
        </w:rPr>
        <w:t xml:space="preserve"> 释义</w:t>
      </w:r>
      <w:bookmarkEnd w:id="66"/>
      <w:bookmarkEnd w:id="67"/>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43"/>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43"/>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43"/>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43"/>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43"/>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43"/>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43"/>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43"/>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43"/>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43"/>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43"/>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43"/>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68" w:name="_Toc29961"/>
      <w:bookmarkStart w:id="69" w:name="_Toc79154665"/>
      <w:r>
        <w:rPr>
          <w:rFonts w:hint="eastAsia" w:hAnsi="宋体"/>
          <w:sz w:val="28"/>
          <w:szCs w:val="28"/>
        </w:rPr>
        <w:t>第二条  理财产品基本情况</w:t>
      </w:r>
      <w:bookmarkEnd w:id="68"/>
      <w:bookmarkEnd w:id="69"/>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兴业银行添利3号净值型理财产品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lang w:eastAsia="zh-CN"/>
              </w:rPr>
              <w:t>添利兴普惠2号</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（适用【E】类份额）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bCs/>
                <w:sz w:val="18"/>
                <w:szCs w:val="18"/>
              </w:rPr>
              <w:t>Z7002020000003</w:t>
            </w:r>
            <w:r>
              <w:rPr>
                <w:rFonts w:hint="eastAsia" w:ascii="宋体" w:hAnsi="宋体"/>
                <w:bCs/>
                <w:sz w:val="18"/>
                <w:szCs w:val="18"/>
              </w:rPr>
              <w:t>】注：投资者可依据理财产品登记编码在中国理财网查询产品信息</w:t>
            </w:r>
            <w:r>
              <w:fldChar w:fldCharType="begin"/>
            </w:r>
            <w:r>
              <w:instrText xml:space="preserve"> HYPERLINK "http://www.chinawealth.com.cn" </w:instrText>
            </w:r>
            <w:r>
              <w:fldChar w:fldCharType="separate"/>
            </w:r>
            <w:r>
              <w:rPr>
                <w:rFonts w:ascii="宋体" w:hAnsi="宋体"/>
                <w:bCs/>
                <w:sz w:val="18"/>
                <w:szCs w:val="18"/>
              </w:rPr>
              <w:t>www.chinawealth.com.cn</w:t>
            </w:r>
            <w:r>
              <w:rPr>
                <w:rFonts w:ascii="宋体" w:hAnsi="宋体"/>
                <w:bCs/>
                <w:sz w:val="18"/>
                <w:szCs w:val="18"/>
              </w:rPr>
              <w:fldChar w:fldCharType="end"/>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14:textFill>
                  <w14:solidFill>
                    <w14:schemeClr w14:val="tx1"/>
                  </w14:solidFill>
                </w14:textFill>
              </w:rPr>
              <w:t>【</w:t>
            </w:r>
            <w:r>
              <w:rPr>
                <w:rFonts w:hint="eastAsia" w:ascii="宋体" w:hAnsi="宋体"/>
                <w:bCs/>
                <w:color w:val="000000" w:themeColor="text1"/>
                <w:sz w:val="18"/>
                <w:szCs w:val="18"/>
                <w14:textFill>
                  <w14:solidFill>
                    <w14:schemeClr w14:val="tx1"/>
                  </w14:solidFill>
                </w14:textFill>
              </w:rPr>
              <w:t>90318012</w:t>
            </w:r>
            <w:r>
              <w:rPr>
                <w:rFonts w:ascii="宋体" w:hAnsi="宋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20" w:lineRule="exact"/>
              <w:jc w:val="left"/>
              <w:rPr>
                <w:rFonts w:ascii="宋体" w:hAnsi="宋体"/>
                <w:bCs/>
                <w:color w:val="000000" w:themeColor="text1"/>
                <w:sz w:val="18"/>
                <w:szCs w:val="18"/>
                <w14:textFill>
                  <w14:solidFill>
                    <w14:schemeClr w14:val="tx1"/>
                  </w14:solidFill>
                </w14:textFill>
              </w:rPr>
            </w:pPr>
            <w:r>
              <w:rPr>
                <w:rFonts w:hint="eastAsia" w:ascii="宋体" w:hAnsi="宋体"/>
                <w:bCs/>
                <w:color w:val="000000" w:themeColor="text1"/>
                <w:sz w:val="18"/>
                <w:szCs w:val="18"/>
                <w14:textFill>
                  <w14:solidFill>
                    <w14:schemeClr w14:val="tx1"/>
                  </w14:solidFill>
                </w14:textFill>
              </w:rPr>
              <w:t>【</w:t>
            </w:r>
            <w:r>
              <w:fldChar w:fldCharType="begin"/>
            </w:r>
            <w:r>
              <w:instrText xml:space="preserve"> HYPERLINK "https://16.7.35.201/sam/track.jsp?infoId=C237699BA807584C015782105B4B5505&amp;infoType=MenuInfo&amp;out=0&amp;url=/jsp/app/workplace/baseworkplace/baseworkplace.jsp" \l "##" </w:instrText>
            </w:r>
            <w:r>
              <w:fldChar w:fldCharType="separate"/>
            </w:r>
            <w:r>
              <w:rPr>
                <w:rFonts w:asciiTheme="minorEastAsia" w:hAnsiTheme="minorEastAsia" w:eastAsiaTheme="minorEastAsia"/>
                <w:sz w:val="18"/>
                <w:szCs w:val="18"/>
              </w:rPr>
              <w:t>91318015</w:t>
            </w:r>
            <w:r>
              <w:rPr>
                <w:rFonts w:asciiTheme="minorEastAsia" w:hAnsiTheme="minorEastAsia" w:eastAsiaTheme="minorEastAsia"/>
                <w:sz w:val="18"/>
                <w:szCs w:val="18"/>
              </w:rPr>
              <w:fldChar w:fldCharType="end"/>
            </w:r>
            <w:r>
              <w:rPr>
                <w:rFonts w:hint="eastAsia" w:ascii="宋体" w:hAnsi="宋体"/>
                <w:bCs/>
                <w:color w:val="000000" w:themeColor="text1"/>
                <w:sz w:val="18"/>
                <w:szCs w:val="18"/>
                <w14:textFill>
                  <w14:solidFill>
                    <w14:schemeClr w14:val="tx1"/>
                  </w14:solidFill>
                </w14:textFill>
              </w:rPr>
              <w:t>】（适用【E】类份额）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14:textFill>
                  <w14:solidFill>
                    <w14:schemeClr w14:val="tx1"/>
                  </w14:solidFill>
                </w14:textFill>
              </w:rPr>
            </w:pPr>
            <w:r>
              <w:rPr>
                <w:rFonts w:hint="eastAsia" w:asciiTheme="majorEastAsia" w:hAnsiTheme="majorEastAsia" w:eastAsiaTheme="majorEastAsia"/>
                <w:b/>
                <w:color w:val="000000" w:themeColor="text1"/>
                <w:sz w:val="18"/>
                <w:szCs w:val="18"/>
                <w14:textFill>
                  <w14:solidFill>
                    <w14:schemeClr w14:val="tx1"/>
                  </w14:solidFill>
                </w14:textFill>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14:textFill>
                  <w14:solidFill>
                    <w14:schemeClr w14:val="tx1"/>
                  </w14:solidFill>
                </w14:textFill>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asciiTheme="majorEastAsia" w:hAnsiTheme="majorEastAsia" w:eastAsiaTheme="majorEastAsia"/>
                <w:bCs/>
                <w:color w:val="000000" w:themeColor="text1"/>
                <w:sz w:val="18"/>
                <w:szCs w:val="18"/>
                <w14:textFill>
                  <w14:solidFill>
                    <w14:schemeClr w14:val="tx1"/>
                  </w14:solidFill>
                </w14:textFill>
              </w:rPr>
              <w:t>本产品适合以下类型投资者：</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 xml:space="preserve">客户 </w:t>
            </w:r>
            <w:r>
              <w:rPr>
                <w:rFonts w:asciiTheme="majorEastAsia" w:hAnsiTheme="majorEastAsia" w:eastAsiaTheme="majorEastAsia"/>
                <w:bCs/>
                <w:color w:val="000000" w:themeColor="text1"/>
                <w:sz w:val="18"/>
                <w:szCs w:val="18"/>
                <w14:textFill>
                  <w14:solidFill>
                    <w14:schemeClr w14:val="tx1"/>
                  </w14:solidFill>
                </w14:textFill>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规模为【50】亿元，最小成立规模为【/】亿元。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【2019</w:t>
            </w:r>
            <w:r>
              <w:rPr>
                <w:rFonts w:cs="Times New Roman" w:asciiTheme="minorEastAsia" w:hAnsiTheme="minorEastAsia"/>
                <w:sz w:val="18"/>
                <w:szCs w:val="18"/>
              </w:rPr>
              <w:t>】年【</w:t>
            </w:r>
            <w:r>
              <w:rPr>
                <w:rFonts w:hint="eastAsia" w:cs="Times New Roman" w:asciiTheme="minorEastAsia" w:hAnsiTheme="minorEastAsia"/>
                <w:sz w:val="18"/>
                <w:szCs w:val="18"/>
              </w:rPr>
              <w:t>04】月【18】日【09:00】</w:t>
            </w:r>
            <w:r>
              <w:rPr>
                <w:rFonts w:hint="eastAsia" w:cs="仿宋_GB2312" w:asciiTheme="minorEastAsia" w:hAnsiTheme="minorEastAsia"/>
                <w:sz w:val="18"/>
                <w:szCs w:val="18"/>
              </w:rPr>
              <w:t>至</w:t>
            </w:r>
            <w:r>
              <w:rPr>
                <w:rFonts w:hint="eastAsia" w:cs="Times New Roman" w:asciiTheme="minorEastAsia" w:hAnsiTheme="minorEastAsia"/>
                <w:sz w:val="18"/>
                <w:szCs w:val="18"/>
              </w:rPr>
              <w:t>【2019</w:t>
            </w:r>
            <w:r>
              <w:rPr>
                <w:rFonts w:cs="Times New Roman" w:asciiTheme="minorEastAsia" w:hAnsiTheme="minorEastAsia"/>
                <w:sz w:val="18"/>
                <w:szCs w:val="18"/>
              </w:rPr>
              <w:t>】年【</w:t>
            </w:r>
            <w:r>
              <w:rPr>
                <w:rFonts w:hint="eastAsia" w:cs="Times New Roman" w:asciiTheme="minorEastAsia" w:hAnsiTheme="minorEastAsia"/>
                <w:sz w:val="18"/>
                <w:szCs w:val="18"/>
              </w:rPr>
              <w:t>04】月【24】日</w:t>
            </w:r>
            <w:r>
              <w:rPr>
                <w:rFonts w:hint="eastAsia" w:asciiTheme="majorEastAsia" w:hAnsiTheme="majorEastAsia" w:eastAsiaTheme="majorEastAsia"/>
                <w:sz w:val="18"/>
                <w:szCs w:val="18"/>
              </w:rPr>
              <w:t>【15:45】</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【2019</w:t>
            </w:r>
            <w:r>
              <w:rPr>
                <w:rFonts w:cs="Times New Roman" w:asciiTheme="minorEastAsia" w:hAnsiTheme="minorEastAsia"/>
                <w:sz w:val="18"/>
                <w:szCs w:val="18"/>
              </w:rPr>
              <w:t>】年【</w:t>
            </w:r>
            <w:r>
              <w:rPr>
                <w:rFonts w:hint="eastAsia" w:cs="Times New Roman" w:asciiTheme="minorEastAsia" w:hAnsiTheme="minorEastAsia"/>
                <w:sz w:val="18"/>
                <w:szCs w:val="18"/>
              </w:rPr>
              <w:t>04】月【25】日（遇节假日顺延）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【2019</w:t>
            </w:r>
            <w:r>
              <w:rPr>
                <w:rFonts w:cs="Times New Roman" w:asciiTheme="minorEastAsia" w:hAnsiTheme="minorEastAsia"/>
                <w:sz w:val="18"/>
                <w:szCs w:val="18"/>
              </w:rPr>
              <w:t>】年【</w:t>
            </w:r>
            <w:r>
              <w:rPr>
                <w:rFonts w:hint="eastAsia" w:cs="Times New Roman" w:asciiTheme="minorEastAsia" w:hAnsiTheme="minorEastAsia"/>
                <w:sz w:val="18"/>
                <w:szCs w:val="18"/>
              </w:rPr>
              <w:t>04】月【25】日</w:t>
            </w:r>
            <w:r>
              <w:rPr>
                <w:rFonts w:hint="eastAsia" w:cs="仿宋_GB2312" w:asciiTheme="minorEastAsia" w:hAnsiTheme="minorEastAsia"/>
                <w:sz w:val="18"/>
                <w:szCs w:val="18"/>
              </w:rPr>
              <w:t>至</w:t>
            </w:r>
            <w:r>
              <w:rPr>
                <w:rFonts w:hint="eastAsia" w:cs="Times New Roman" w:asciiTheme="minorEastAsia" w:hAnsiTheme="minorEastAsia"/>
                <w:sz w:val="18"/>
                <w:szCs w:val="18"/>
              </w:rPr>
              <w:t>【2019</w:t>
            </w:r>
            <w:r>
              <w:rPr>
                <w:rFonts w:cs="Times New Roman" w:asciiTheme="minorEastAsia" w:hAnsiTheme="minorEastAsia"/>
                <w:sz w:val="18"/>
                <w:szCs w:val="18"/>
              </w:rPr>
              <w:t>】年【</w:t>
            </w:r>
            <w:r>
              <w:rPr>
                <w:rFonts w:hint="eastAsia" w:cs="Times New Roman" w:asciiTheme="minorEastAsia" w:hAnsiTheme="minorEastAsia"/>
                <w:sz w:val="18"/>
                <w:szCs w:val="18"/>
              </w:rPr>
              <w:t>04】月【27】日</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后的每个【工作日】为开放日，开放日开放投资者的申购与赎回；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43"/>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43"/>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43"/>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43"/>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 xml:space="preserve">：00】 </w:t>
                  </w:r>
                </w:p>
              </w:tc>
              <w:tc>
                <w:tcPr>
                  <w:tcW w:w="1701"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43"/>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43"/>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43"/>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43"/>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lang w:val="en-US" w:eastAsia="zh-CN"/>
                    </w:rPr>
                    <w:t>5</w:t>
                  </w:r>
                  <w:r>
                    <w:rPr>
                      <w:rFonts w:hint="eastAsia" w:asciiTheme="majorEastAsia" w:hAnsiTheme="majorEastAsia" w:eastAsiaTheme="majorEastAsia"/>
                      <w:bCs/>
                      <w:color w:val="auto"/>
                      <w:sz w:val="18"/>
                      <w:szCs w:val="18"/>
                    </w:rPr>
                    <w:t>：00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43"/>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注：</w:t>
            </w:r>
            <w:r>
              <w:rPr>
                <w:rFonts w:hint="eastAsia" w:asciiTheme="majorEastAsia" w:hAnsiTheme="majorEastAsia"/>
                <w:color w:val="000000" w:themeColor="text1"/>
                <w:sz w:val="18"/>
                <w14:textFill>
                  <w14:solidFill>
                    <w14:schemeClr w14:val="tx1"/>
                  </w14:solidFill>
                </w14:textFill>
              </w:rPr>
              <w:t>赎回</w:t>
            </w:r>
            <w:r>
              <w:rPr>
                <w:rFonts w:hint="eastAsia" w:asciiTheme="majorEastAsia" w:hAnsiTheme="majorEastAsia" w:eastAsiaTheme="majorEastAsia"/>
                <w:bCs/>
                <w:color w:val="000000" w:themeColor="text1"/>
                <w:sz w:val="18"/>
                <w:szCs w:val="18"/>
                <w14:textFill>
                  <w14:solidFill>
                    <w14:schemeClr w14:val="tx1"/>
                  </w14:solidFill>
                </w14:textFill>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14:textFill>
                  <w14:solidFill>
                    <w14:schemeClr w14:val="tx1"/>
                  </w14:solidFill>
                </w14:textFill>
              </w:rPr>
              <w:t>4.申购/</w:t>
            </w:r>
            <w:r>
              <w:rPr>
                <w:rFonts w:hint="eastAsia" w:asciiTheme="majorEastAsia" w:hAnsiTheme="majorEastAsia" w:eastAsiaTheme="majorEastAsia"/>
                <w:bCs/>
                <w:color w:val="000000" w:themeColor="text1"/>
                <w:sz w:val="18"/>
                <w:szCs w:val="18"/>
                <w14:textFill>
                  <w14:solidFill>
                    <w14:schemeClr w14:val="tx1"/>
                  </w14:solidFill>
                </w14:textFill>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14:textFill>
                  <w14:solidFill>
                    <w14:schemeClr w14:val="tx1"/>
                  </w14:solidFill>
                </w14:textFill>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0.01</w:t>
            </w:r>
            <w:r>
              <w:rPr>
                <w:rFonts w:hint="eastAsia" w:asciiTheme="majorEastAsia" w:hAnsiTheme="majorEastAsia" w:eastAsiaTheme="majorEastAsia"/>
                <w:bCs/>
                <w:sz w:val="18"/>
                <w:szCs w:val="18"/>
              </w:rPr>
              <w:t>】元；超出起点金额的部分以【0.01】元的整数倍递增。</w:t>
            </w:r>
            <w:r>
              <w:rPr>
                <w:rFonts w:hint="eastAsia" w:asciiTheme="majorEastAsia" w:hAnsiTheme="majorEastAsia" w:eastAsiaTheme="majorEastAsia"/>
                <w:bCs/>
                <w:color w:val="000000" w:themeColor="text1"/>
                <w:sz w:val="18"/>
                <w:szCs w:val="18"/>
                <w14:textFill>
                  <w14:solidFill>
                    <w14:schemeClr w14:val="tx1"/>
                  </w14:solidFill>
                </w14:textFill>
              </w:rPr>
              <w:t>（适用【</w:t>
            </w:r>
            <w:r>
              <w:rPr>
                <w:rFonts w:asciiTheme="majorEastAsia" w:hAnsiTheme="majorEastAsia" w:eastAsiaTheme="majorEastAsia"/>
                <w:bCs/>
                <w:color w:val="000000" w:themeColor="text1"/>
                <w:sz w:val="18"/>
                <w:szCs w:val="18"/>
                <w14:textFill>
                  <w14:solidFill>
                    <w14:schemeClr w14:val="tx1"/>
                  </w14:solidFill>
                </w14:textFill>
              </w:rPr>
              <w:t>E</w:t>
            </w:r>
            <w:r>
              <w:rPr>
                <w:rFonts w:hint="eastAsia" w:asciiTheme="majorEastAsia" w:hAnsiTheme="majorEastAsia" w:eastAsiaTheme="majorEastAsia"/>
                <w:bCs/>
                <w:color w:val="000000" w:themeColor="text1"/>
                <w:sz w:val="18"/>
                <w:szCs w:val="18"/>
                <w14:textFill>
                  <w14:solidFill>
                    <w14:schemeClr w14:val="tx1"/>
                  </w14:solidFill>
                </w14:textFill>
              </w:rPr>
              <w:t>】类份额）</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关于代理销售机构的实际销售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的提示</w:t>
            </w:r>
          </w:p>
          <w:p>
            <w:pPr>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14:textFill>
                  <w14:solidFill>
                    <w14:schemeClr w14:val="tx1"/>
                  </w14:solidFill>
                </w14:textFill>
              </w:rPr>
              <w:t>以</w:t>
            </w:r>
            <w:r>
              <w:rPr>
                <w:rFonts w:hint="eastAsia" w:ascii="黑体" w:hAnsi="黑体" w:eastAsia="黑体"/>
                <w:bCs/>
                <w:color w:val="000000" w:themeColor="text1"/>
                <w:sz w:val="18"/>
                <w:szCs w:val="18"/>
                <w14:textFill>
                  <w14:solidFill>
                    <w14:schemeClr w14:val="tx1"/>
                  </w14:solidFill>
                </w14:textFill>
              </w:rPr>
              <w:t>代理销售机构展示</w:t>
            </w:r>
            <w:r>
              <w:rPr>
                <w:rFonts w:ascii="黑体" w:hAnsi="黑体" w:eastAsia="黑体"/>
                <w:bCs/>
                <w:color w:val="000000" w:themeColor="text1"/>
                <w:sz w:val="18"/>
                <w:szCs w:val="18"/>
                <w14:textFill>
                  <w14:solidFill>
                    <w14:schemeClr w14:val="tx1"/>
                  </w14:solidFill>
                </w14:textFill>
              </w:rPr>
              <w:t>为准</w:t>
            </w:r>
            <w:r>
              <w:rPr>
                <w:rFonts w:hint="eastAsia" w:ascii="黑体" w:hAnsi="黑体" w:eastAsia="黑体"/>
                <w:bCs/>
                <w:color w:val="000000" w:themeColor="text1"/>
                <w:sz w:val="18"/>
                <w:szCs w:val="18"/>
                <w14:textFill>
                  <w14:solidFill>
                    <w14:schemeClr w14:val="tx1"/>
                  </w14:solidFill>
                </w14:textFill>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14:textFill>
                  <w14:solidFill>
                    <w14:schemeClr w14:val="tx1"/>
                  </w14:solidFill>
                </w14:textFill>
              </w:rPr>
              <w:t>②代理销售机构的实际销售起点金额，</w:t>
            </w:r>
            <w:r>
              <w:rPr>
                <w:rFonts w:ascii="黑体" w:hAnsi="黑体" w:eastAsia="黑体"/>
                <w:bCs/>
                <w:color w:val="000000" w:themeColor="text1"/>
                <w:sz w:val="18"/>
                <w:szCs w:val="18"/>
                <w14:textFill>
                  <w14:solidFill>
                    <w14:schemeClr w14:val="tx1"/>
                  </w14:solidFill>
                </w14:textFill>
              </w:rPr>
              <w:t>不得低于</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文件约定的</w:t>
            </w:r>
            <w:r>
              <w:rPr>
                <w:rFonts w:hint="eastAsia" w:ascii="黑体" w:hAnsi="黑体" w:eastAsia="黑体"/>
                <w:bCs/>
                <w:color w:val="000000" w:themeColor="text1"/>
                <w:sz w:val="18"/>
                <w:szCs w:val="18"/>
                <w14:textFill>
                  <w14:solidFill>
                    <w14:schemeClr w14:val="tx1"/>
                  </w14:solidFill>
                </w14:textFill>
              </w:rPr>
              <w:t>销售</w:t>
            </w:r>
            <w:r>
              <w:rPr>
                <w:rFonts w:ascii="黑体" w:hAnsi="黑体" w:eastAsia="黑体"/>
                <w:bCs/>
                <w:color w:val="000000" w:themeColor="text1"/>
                <w:sz w:val="18"/>
                <w:szCs w:val="18"/>
                <w14:textFill>
                  <w14:solidFill>
                    <w14:schemeClr w14:val="tx1"/>
                  </w14:solidFill>
                </w14:textFill>
              </w:rPr>
              <w:t>起点金额</w:t>
            </w:r>
            <w:r>
              <w:rPr>
                <w:rFonts w:hint="eastAsia" w:ascii="黑体" w:hAnsi="黑体" w:eastAsia="黑体"/>
                <w:bCs/>
                <w:color w:val="000000" w:themeColor="text1"/>
                <w:sz w:val="18"/>
                <w:szCs w:val="18"/>
                <w14:textFill>
                  <w14:solidFill>
                    <w14:schemeClr w14:val="tx1"/>
                  </w14:solidFill>
                </w14:textFill>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43"/>
              <w:spacing w:line="360" w:lineRule="auto"/>
              <w:rPr>
                <w:rFonts w:asciiTheme="minorEastAsia" w:hAnsiTheme="minorEastAsia" w:eastAsiaTheme="minorEastAsia"/>
                <w:color w:val="auto"/>
                <w:sz w:val="18"/>
                <w:szCs w:val="18"/>
              </w:rPr>
            </w:pPr>
            <w:r>
              <w:rPr>
                <w:rFonts w:hint="eastAsia" w:hAnsi="宋体"/>
                <w:sz w:val="18"/>
                <w:szCs w:val="18"/>
              </w:rPr>
              <w:t>（适用【</w:t>
            </w:r>
            <w:r>
              <w:rPr>
                <w:rFonts w:hAnsi="宋体"/>
                <w:sz w:val="18"/>
                <w:szCs w:val="18"/>
              </w:rPr>
              <w:t>E</w:t>
            </w:r>
            <w:r>
              <w:rPr>
                <w:rFonts w:hint="eastAsia" w:hAnsi="宋体"/>
                <w:sz w:val="18"/>
                <w:szCs w:val="18"/>
              </w:rPr>
              <w:t>】类份额）</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43"/>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w:t>
            </w:r>
            <w:r>
              <w:rPr>
                <w:rFonts w:asciiTheme="minorEastAsia" w:hAnsiTheme="minorEastAsia" w:eastAsiaTheme="minorEastAsia"/>
                <w:color w:val="auto"/>
                <w:sz w:val="18"/>
                <w:szCs w:val="18"/>
              </w:rPr>
              <w:t>30</w:t>
            </w:r>
            <w:r>
              <w:rPr>
                <w:rFonts w:hint="eastAsia" w:asciiTheme="minorEastAsia" w:hAnsiTheme="minorEastAsia" w:eastAsiaTheme="minorEastAsia"/>
                <w:color w:val="auto"/>
                <w:sz w:val="18"/>
                <w:szCs w:val="18"/>
              </w:rPr>
              <w:t>万】元。如需突破上限，请与产品管理人或销售机构客户经理联系。</w:t>
            </w:r>
          </w:p>
          <w:p>
            <w:pPr>
              <w:pStyle w:val="43"/>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】，符合产品管理人流动性管理的稳定资金除外。</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43"/>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w:t>
            </w:r>
            <w:r>
              <w:rPr>
                <w:rFonts w:asciiTheme="minorEastAsia" w:hAnsiTheme="minorEastAsia" w:eastAsiaTheme="minorEastAsia"/>
                <w:color w:val="auto"/>
                <w:sz w:val="18"/>
                <w:szCs w:val="18"/>
              </w:rPr>
              <w:t>0.01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43"/>
              <w:spacing w:line="360" w:lineRule="auto"/>
              <w:rPr>
                <w:rFonts w:ascii="黑体" w:hAnsi="黑体" w:eastAsia="黑体"/>
                <w:bCs/>
                <w:color w:val="000000" w:themeColor="text1"/>
                <w:sz w:val="18"/>
                <w:szCs w:val="18"/>
                <w14:textFill>
                  <w14:solidFill>
                    <w14:schemeClr w14:val="tx1"/>
                  </w14:solidFill>
                </w14:textFill>
              </w:rPr>
            </w:pPr>
            <w:r>
              <w:rPr>
                <w:rFonts w:hint="eastAsia" w:hAnsi="宋体"/>
                <w:sz w:val="18"/>
                <w:szCs w:val="18"/>
              </w:rPr>
              <w:t>★</w:t>
            </w:r>
            <w:r>
              <w:rPr>
                <w:rFonts w:hint="eastAsia" w:ascii="黑体" w:hAnsi="黑体" w:eastAsia="黑体"/>
                <w:bCs/>
                <w:color w:val="000000" w:themeColor="text1"/>
                <w:sz w:val="18"/>
                <w:szCs w:val="18"/>
                <w14:textFill>
                  <w14:solidFill>
                    <w14:schemeClr w14:val="tx1"/>
                  </w14:solidFill>
                </w14:textFill>
              </w:rPr>
              <w:t>注</w:t>
            </w:r>
            <w:r>
              <w:rPr>
                <w:rFonts w:ascii="黑体" w:hAnsi="黑体" w:eastAsia="黑体"/>
                <w:bCs/>
                <w:color w:val="000000" w:themeColor="text1"/>
                <w:sz w:val="18"/>
                <w:szCs w:val="18"/>
                <w14:textFill>
                  <w14:solidFill>
                    <w14:schemeClr w14:val="tx1"/>
                  </w14:solidFill>
                </w14:textFill>
              </w:rPr>
              <w:t>：</w:t>
            </w:r>
            <w:r>
              <w:rPr>
                <w:rFonts w:hint="eastAsia" w:ascii="黑体" w:hAnsi="黑体" w:eastAsia="黑体"/>
                <w:bCs/>
                <w:color w:val="000000" w:themeColor="text1"/>
                <w:sz w:val="18"/>
                <w:szCs w:val="18"/>
                <w14:textFill>
                  <w14:solidFill>
                    <w14:schemeClr w14:val="tx1"/>
                  </w14:solidFill>
                </w14:textFill>
              </w:rPr>
              <w:t>本产品单一投资者持有份额不得超过产品总份额50%。</w:t>
            </w:r>
          </w:p>
          <w:p>
            <w:pPr>
              <w:pStyle w:val="43"/>
              <w:spacing w:line="360" w:lineRule="auto"/>
              <w:rPr>
                <w:rFonts w:ascii="黑体" w:hAnsi="黑体" w:eastAsia="黑体"/>
                <w:bCs/>
                <w:color w:val="000000" w:themeColor="text1"/>
                <w:sz w:val="18"/>
                <w:szCs w:val="18"/>
                <w14:textFill>
                  <w14:solidFill>
                    <w14:schemeClr w14:val="tx1"/>
                  </w14:solidFill>
                </w14:textFill>
              </w:rPr>
            </w:pPr>
            <w:r>
              <w:rPr>
                <w:rFonts w:hint="eastAsia" w:ascii="黑体" w:hAnsi="黑体" w:eastAsia="黑体"/>
                <w:bCs/>
                <w:color w:val="000000" w:themeColor="text1"/>
                <w:sz w:val="18"/>
                <w:szCs w:val="18"/>
                <w14:textFill>
                  <w14:solidFill>
                    <w14:schemeClr w14:val="tx1"/>
                  </w14:solidFill>
                </w14:textFill>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14:textFill>
                  <w14:solidFill>
                    <w14:schemeClr w14:val="tx1"/>
                  </w14:solidFill>
                </w14:textFill>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43"/>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21" o:title=""/>
                  <o:lock v:ext="edit" aspectratio="t"/>
                  <w10:wrap type="none"/>
                  <w10:anchorlock/>
                </v:shape>
                <o:OLEObject Type="Embed" ProgID="Equation.DSMT4" ShapeID="_x0000_i1025" DrawAspect="Content" ObjectID="_1468075725" r:id="rId20">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2位。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int="eastAsia" w:hAnsi="宋体"/>
                <w:sz w:val="18"/>
                <w:szCs w:val="18"/>
              </w:rPr>
              <w:t>（适用【</w:t>
            </w:r>
            <w:r>
              <w:rPr>
                <w:rFonts w:hAnsi="宋体"/>
                <w:sz w:val="18"/>
                <w:szCs w:val="18"/>
              </w:rPr>
              <w:t>E</w:t>
            </w:r>
            <w:r>
              <w:rPr>
                <w:rFonts w:hint="eastAsia" w:hAnsi="宋体"/>
                <w:sz w:val="18"/>
                <w:szCs w:val="18"/>
              </w:rPr>
              <w:t>】类份额）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int="eastAsia" w:hAnsi="宋体"/>
                <w:sz w:val="18"/>
                <w:szCs w:val="18"/>
              </w:rPr>
              <w:t>（适用【</w:t>
            </w:r>
            <w:r>
              <w:rPr>
                <w:rFonts w:hAnsi="宋体"/>
                <w:sz w:val="18"/>
                <w:szCs w:val="18"/>
              </w:rPr>
              <w:t>E</w:t>
            </w:r>
            <w:r>
              <w:rPr>
                <w:rFonts w:hint="eastAsia" w:hAnsi="宋体"/>
                <w:sz w:val="18"/>
                <w:szCs w:val="18"/>
              </w:rPr>
              <w:t>】类份额）</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1.</w:t>
            </w:r>
            <w:r>
              <w:rPr>
                <w:rFonts w:hint="eastAsia" w:ascii="宋体" w:hAnsi="宋体"/>
                <w:b/>
                <w:bCs/>
                <w:color w:val="000000" w:themeColor="text1"/>
                <w:sz w:val="18"/>
                <w:szCs w:val="18"/>
                <w14:textFill>
                  <w14:solidFill>
                    <w14:schemeClr w14:val="tx1"/>
                  </w14:solidFill>
                </w14:textFill>
              </w:rPr>
              <w:t>认购费：</w:t>
            </w:r>
            <w:r>
              <w:rPr>
                <w:rFonts w:hint="eastAsia" w:ascii="宋体" w:hAnsi="宋体"/>
                <w:bCs/>
                <w:color w:val="000000" w:themeColor="text1"/>
                <w:sz w:val="18"/>
                <w:szCs w:val="18"/>
                <w14:textFill>
                  <w14:solidFill>
                    <w14:schemeClr w14:val="tx1"/>
                  </w14:solidFill>
                </w14:textFill>
              </w:rPr>
              <w:t>【0】。</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2.申购费：</w:t>
            </w:r>
            <w:r>
              <w:rPr>
                <w:rFonts w:hint="eastAsia" w:ascii="宋体" w:hAnsi="宋体"/>
                <w:bCs/>
                <w:color w:val="000000" w:themeColor="text1"/>
                <w:sz w:val="18"/>
                <w:szCs w:val="18"/>
                <w14:textFill>
                  <w14:solidFill>
                    <w14:schemeClr w14:val="tx1"/>
                  </w14:solidFill>
                </w14:textFill>
              </w:rPr>
              <w:t>【0】</w:t>
            </w:r>
            <w:r>
              <w:rPr>
                <w:rFonts w:ascii="宋体" w:hAnsi="宋体"/>
                <w:bCs/>
                <w:color w:val="000000" w:themeColor="text1"/>
                <w:sz w:val="18"/>
                <w:szCs w:val="18"/>
                <w14:textFill>
                  <w14:solidFill>
                    <w14:schemeClr w14:val="tx1"/>
                  </w14:solidFill>
                </w14:textFill>
              </w:rPr>
              <w:t>。</w:t>
            </w:r>
          </w:p>
          <w:p>
            <w:pPr>
              <w:spacing w:line="360" w:lineRule="auto"/>
              <w:rPr>
                <w:rFonts w:ascii="宋体" w:hAnsi="宋体"/>
                <w:b/>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3.</w:t>
            </w:r>
            <w:r>
              <w:rPr>
                <w:rFonts w:hint="eastAsia" w:ascii="宋体" w:hAnsi="宋体"/>
                <w:b/>
                <w:bCs/>
                <w:color w:val="000000" w:themeColor="text1"/>
                <w:sz w:val="18"/>
                <w:szCs w:val="18"/>
                <w14:textFill>
                  <w14:solidFill>
                    <w14:schemeClr w14:val="tx1"/>
                  </w14:solidFill>
                </w14:textFill>
              </w:rPr>
              <w:t>赎回费：</w:t>
            </w:r>
            <w:r>
              <w:rPr>
                <w:rFonts w:hint="eastAsia" w:ascii="宋体" w:hAnsi="宋体"/>
                <w:bCs/>
                <w:color w:val="000000" w:themeColor="text1"/>
                <w:sz w:val="18"/>
                <w:szCs w:val="18"/>
                <w14:textFill>
                  <w14:solidFill>
                    <w14:schemeClr w14:val="tx1"/>
                  </w14:solidFill>
                </w14:textFill>
              </w:rPr>
              <w:t>【0】。</w:t>
            </w:r>
          </w:p>
          <w:p>
            <w:pPr>
              <w:widowControl/>
              <w:spacing w:line="360" w:lineRule="auto"/>
              <w:jc w:val="left"/>
              <w:rPr>
                <w:rFonts w:ascii="宋体" w:hAnsi="宋体"/>
                <w:b/>
                <w:bCs/>
                <w:color w:val="000000" w:themeColor="text1"/>
                <w:sz w:val="18"/>
                <w:szCs w:val="18"/>
                <w14:textFill>
                  <w14:solidFill>
                    <w14:schemeClr w14:val="tx1"/>
                  </w14:solidFill>
                </w14:textFill>
              </w:rPr>
            </w:pPr>
            <w:r>
              <w:rPr>
                <w:rFonts w:hint="eastAsia" w:ascii="宋体" w:hAnsi="宋体"/>
                <w:b/>
                <w:bCs/>
                <w:color w:val="000000" w:themeColor="text1"/>
                <w:sz w:val="18"/>
                <w:szCs w:val="18"/>
                <w14:textFill>
                  <w14:solidFill>
                    <w14:schemeClr w14:val="tx1"/>
                  </w14:solidFill>
                </w14:textFill>
              </w:rPr>
              <w:t>4</w:t>
            </w:r>
            <w:r>
              <w:rPr>
                <w:rFonts w:ascii="宋体" w:hAnsi="宋体"/>
                <w:b/>
                <w:bCs/>
                <w:color w:val="000000" w:themeColor="text1"/>
                <w:sz w:val="18"/>
                <w:szCs w:val="18"/>
                <w14:textFill>
                  <w14:solidFill>
                    <w14:schemeClr w14:val="tx1"/>
                  </w14:solidFill>
                </w14:textFill>
              </w:rPr>
              <w:t>.强制赎回费</w:t>
            </w:r>
            <w:r>
              <w:rPr>
                <w:rFonts w:hint="eastAsia" w:ascii="宋体" w:hAnsi="宋体"/>
                <w:b/>
                <w:bCs/>
                <w:color w:val="000000" w:themeColor="text1"/>
                <w:sz w:val="18"/>
                <w:szCs w:val="18"/>
                <w14:textFill>
                  <w14:solidFill>
                    <w14:schemeClr w14:val="tx1"/>
                  </w14:solidFill>
                </w14:textFill>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14:textFill>
                  <w14:solidFill>
                    <w14:schemeClr w14:val="tx1"/>
                  </w14:solidFill>
                </w14:textFill>
              </w:rPr>
            </w:pPr>
            <w:r>
              <w:rPr>
                <w:rFonts w:asciiTheme="majorEastAsia" w:hAnsiTheme="majorEastAsia" w:eastAsiaTheme="majorEastAsia"/>
                <w:b/>
                <w:bCs/>
                <w:color w:val="000000" w:themeColor="text1"/>
                <w:sz w:val="18"/>
                <w:szCs w:val="18"/>
                <w14:textFill>
                  <w14:solidFill>
                    <w14:schemeClr w14:val="tx1"/>
                  </w14:solidFill>
                </w14:textFill>
              </w:rPr>
              <w:t>5.销售服</w:t>
            </w:r>
            <w:r>
              <w:rPr>
                <w:rFonts w:hint="eastAsia" w:ascii="宋体" w:hAnsi="宋体"/>
                <w:b/>
                <w:bCs/>
                <w:color w:val="000000" w:themeColor="text1"/>
                <w:sz w:val="18"/>
                <w:szCs w:val="18"/>
                <w14:textFill>
                  <w14:solidFill>
                    <w14:schemeClr w14:val="tx1"/>
                  </w14:solidFill>
                </w14:textFill>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40</w:t>
            </w:r>
            <w:r>
              <w:rPr>
                <w:rFonts w:hint="eastAsia"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6.</w:t>
            </w:r>
            <w:r>
              <w:rPr>
                <w:rFonts w:hint="eastAsia" w:ascii="宋体" w:hAnsi="宋体"/>
                <w:b/>
                <w:bCs/>
                <w:color w:val="000000" w:themeColor="text1"/>
                <w:sz w:val="18"/>
                <w:szCs w:val="18"/>
                <w14:textFill>
                  <w14:solidFill>
                    <w14:schemeClr w14:val="tx1"/>
                  </w14:solidFill>
                </w14:textFill>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spacing w:line="360" w:lineRule="auto"/>
              <w:rPr>
                <w:rFonts w:ascii="宋体" w:hAnsi="宋体"/>
                <w:bCs/>
                <w:color w:val="000000" w:themeColor="text1"/>
                <w:sz w:val="18"/>
                <w:szCs w:val="18"/>
                <w14:textFill>
                  <w14:solidFill>
                    <w14:schemeClr w14:val="tx1"/>
                  </w14:solidFill>
                </w14:textFill>
              </w:rPr>
            </w:pPr>
            <w:r>
              <w:rPr>
                <w:rFonts w:ascii="宋体" w:hAnsi="宋体"/>
                <w:b/>
                <w:bCs/>
                <w:color w:val="000000" w:themeColor="text1"/>
                <w:sz w:val="18"/>
                <w:szCs w:val="18"/>
                <w14:textFill>
                  <w14:solidFill>
                    <w14:schemeClr w14:val="tx1"/>
                  </w14:solidFill>
                </w14:textFill>
              </w:rPr>
              <w:t>7.</w:t>
            </w:r>
            <w:r>
              <w:rPr>
                <w:rFonts w:hint="eastAsia" w:ascii="宋体" w:hAnsi="宋体"/>
                <w:b/>
                <w:bCs/>
                <w:color w:val="000000" w:themeColor="text1"/>
                <w:sz w:val="18"/>
                <w:szCs w:val="18"/>
                <w14:textFill>
                  <w14:solidFill>
                    <w14:schemeClr w14:val="tx1"/>
                  </w14:solidFill>
                </w14:textFill>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14:textFill>
                  <w14:solidFill>
                    <w14:schemeClr w14:val="tx1"/>
                  </w14:solidFill>
                </w14:textFill>
              </w:rPr>
              <w:t>。</w:t>
            </w:r>
          </w:p>
          <w:p>
            <w:pPr>
              <w:widowControl/>
              <w:spacing w:line="360" w:lineRule="auto"/>
              <w:jc w:val="left"/>
              <w:rPr>
                <w:rFonts w:ascii="宋体" w:hAnsi="宋体"/>
                <w:kern w:val="0"/>
                <w:sz w:val="18"/>
                <w:szCs w:val="18"/>
              </w:rPr>
            </w:pPr>
            <w:r>
              <w:rPr>
                <w:rFonts w:ascii="宋体" w:hAnsi="宋体"/>
                <w:b/>
                <w:bCs/>
                <w:color w:val="000000" w:themeColor="text1"/>
                <w:sz w:val="18"/>
                <w:szCs w:val="18"/>
                <w14:textFill>
                  <w14:solidFill>
                    <w14:schemeClr w14:val="tx1"/>
                  </w14:solidFill>
                </w14:textFill>
              </w:rPr>
              <w:t>8.</w:t>
            </w:r>
            <w:r>
              <w:rPr>
                <w:rFonts w:hint="eastAsia" w:ascii="宋体" w:hAnsi="宋体"/>
                <w:b/>
                <w:bCs/>
                <w:color w:val="000000" w:themeColor="text1"/>
                <w:sz w:val="18"/>
                <w:szCs w:val="18"/>
                <w14:textFill>
                  <w14:solidFill>
                    <w14:schemeClr w14:val="tx1"/>
                  </w14:solidFill>
                </w14:textFill>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14:textFill>
                  <w14:solidFill>
                    <w14:schemeClr w14:val="tx1"/>
                  </w14:solidFill>
                </w14:textFill>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43"/>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70" w:name="_Toc79154666"/>
      <w:bookmarkStart w:id="71" w:name="_Toc3800"/>
      <w:r>
        <w:rPr>
          <w:rFonts w:ascii="Times New Roman"/>
          <w:sz w:val="30"/>
        </w:rPr>
        <w:t>第</w:t>
      </w:r>
      <w:r>
        <w:rPr>
          <w:rFonts w:hint="eastAsia" w:ascii="Times New Roman"/>
          <w:sz w:val="30"/>
        </w:rPr>
        <w:t>三条</w:t>
      </w:r>
      <w:r>
        <w:rPr>
          <w:rFonts w:ascii="Times New Roman"/>
          <w:sz w:val="30"/>
        </w:rPr>
        <w:t xml:space="preserve">  </w:t>
      </w:r>
      <w:bookmarkStart w:id="72" w:name="_Toc79392573"/>
      <w:r>
        <w:rPr>
          <w:rFonts w:hint="eastAsia" w:ascii="Times New Roman"/>
          <w:sz w:val="30"/>
        </w:rPr>
        <w:t>理财产品的认购</w:t>
      </w:r>
      <w:bookmarkEnd w:id="70"/>
      <w:bookmarkEnd w:id="71"/>
    </w:p>
    <w:p>
      <w:pPr>
        <w:spacing w:line="360" w:lineRule="auto"/>
        <w:ind w:firstLine="361" w:firstLineChars="200"/>
        <w:rPr>
          <w:rFonts w:asciiTheme="minorEastAsia" w:hAnsiTheme="minorEastAsia"/>
          <w:b/>
          <w:bCs/>
          <w:sz w:val="18"/>
          <w:szCs w:val="18"/>
        </w:rPr>
      </w:pPr>
      <w:bookmarkStart w:id="73" w:name="_Hlt88031774"/>
      <w:bookmarkEnd w:id="73"/>
      <w:bookmarkStart w:id="74" w:name="_Hlt88031741"/>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43"/>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75" w:name="_Toc28773"/>
      <w:bookmarkStart w:id="76" w:name="_Toc79154667"/>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75"/>
      <w:bookmarkEnd w:id="76"/>
    </w:p>
    <w:bookmarkEnd w:id="74"/>
    <w:p>
      <w:pPr>
        <w:spacing w:line="360" w:lineRule="auto"/>
        <w:ind w:firstLine="420" w:firstLineChars="200"/>
      </w:pP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43"/>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43"/>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43"/>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43"/>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43"/>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43"/>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43"/>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43"/>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w:t>
      </w:r>
      <w:r>
        <w:rPr>
          <w:rFonts w:hint="eastAsia" w:asciiTheme="majorEastAsia" w:hAnsiTheme="majorEastAsia" w:eastAsiaTheme="majorEastAsia"/>
          <w:bCs/>
          <w:color w:val="auto"/>
          <w:sz w:val="18"/>
          <w:szCs w:val="18"/>
        </w:rPr>
        <w:t>17：00</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43"/>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43"/>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43"/>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43"/>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bookmarkEnd w:id="72"/>
    <w:p>
      <w:pPr>
        <w:pStyle w:val="2"/>
        <w:spacing w:before="0" w:after="0" w:line="360" w:lineRule="auto"/>
        <w:jc w:val="center"/>
        <w:rPr>
          <w:rFonts w:ascii="Times New Roman"/>
          <w:sz w:val="30"/>
        </w:rPr>
      </w:pPr>
      <w:bookmarkStart w:id="77" w:name="_Toc16265"/>
      <w:bookmarkStart w:id="78" w:name="_Toc2561"/>
      <w:bookmarkStart w:id="79" w:name="_Toc22074"/>
      <w:bookmarkStart w:id="80" w:name="_Toc27189"/>
      <w:bookmarkStart w:id="81" w:name="_Toc29784"/>
      <w:bookmarkStart w:id="82" w:name="_Toc90742390"/>
      <w:bookmarkStart w:id="83" w:name="_Toc90742321"/>
      <w:bookmarkStart w:id="84" w:name="_Toc7151"/>
      <w:bookmarkStart w:id="85" w:name="_Toc90742688"/>
      <w:bookmarkStart w:id="86" w:name="_Toc3266"/>
      <w:bookmarkStart w:id="87" w:name="_Toc29948"/>
      <w:bookmarkStart w:id="88" w:name="_Toc79154668"/>
      <w:bookmarkStart w:id="89" w:name="_Toc6714"/>
      <w:bookmarkStart w:id="90" w:name="_Toc27226"/>
      <w:bookmarkStart w:id="91" w:name="_Toc74065741"/>
      <w:bookmarkStart w:id="92" w:name="_Toc15203"/>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43"/>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43"/>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.投资组合比例：本产品投资于固定收益类资产的比例不低于产品总资产的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43"/>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43"/>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43"/>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93" w:name="_Toc7848"/>
      <w:bookmarkStart w:id="94" w:name="_Toc139991735"/>
      <w:bookmarkStart w:id="95" w:name="_Toc1823"/>
      <w:bookmarkStart w:id="96" w:name="_Toc18526"/>
      <w:bookmarkStart w:id="97" w:name="_Toc18797"/>
      <w:bookmarkStart w:id="98" w:name="_Toc14893"/>
      <w:bookmarkStart w:id="99" w:name="_Toc26986"/>
      <w:bookmarkStart w:id="100" w:name="_Toc4741"/>
      <w:bookmarkStart w:id="101" w:name="_Toc141703885"/>
      <w:bookmarkStart w:id="102" w:name="_Toc21988"/>
      <w:bookmarkStart w:id="103" w:name="_Toc24783"/>
      <w:bookmarkStart w:id="104" w:name="_Toc74065742"/>
      <w:bookmarkStart w:id="105" w:name="_Toc79154669"/>
      <w:bookmarkStart w:id="106" w:name="_Toc18329"/>
      <w:bookmarkStart w:id="107" w:name="_Toc17912"/>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p>
    <w:p>
      <w:pPr>
        <w:pStyle w:val="43"/>
        <w:spacing w:line="360" w:lineRule="auto"/>
        <w:ind w:firstLine="361" w:firstLineChars="200"/>
        <w:rPr>
          <w:rFonts w:asciiTheme="majorEastAsia" w:hAnsiTheme="majorEastAsia" w:eastAsiaTheme="majorEastAsia"/>
          <w:b/>
          <w:color w:val="auto"/>
          <w:sz w:val="18"/>
          <w:szCs w:val="18"/>
        </w:rPr>
      </w:pPr>
      <w:bookmarkStart w:id="108" w:name="_Hlk490214295"/>
      <w:r>
        <w:rPr>
          <w:rFonts w:hint="eastAsia" w:asciiTheme="majorEastAsia" w:hAnsiTheme="majorEastAsia" w:eastAsiaTheme="majorEastAsia"/>
          <w:b/>
          <w:color w:val="auto"/>
          <w:sz w:val="18"/>
          <w:szCs w:val="18"/>
        </w:rPr>
        <w:t>（一）理财产品的资产的保管和处分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43"/>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bookmarkEnd w:id="108"/>
    <w:p>
      <w:pPr>
        <w:pStyle w:val="2"/>
        <w:spacing w:before="0" w:after="0" w:line="360" w:lineRule="auto"/>
        <w:jc w:val="center"/>
        <w:rPr>
          <w:rFonts w:ascii="Times New Roman"/>
          <w:sz w:val="30"/>
        </w:rPr>
      </w:pPr>
      <w:bookmarkStart w:id="109" w:name="_Toc123102453"/>
      <w:bookmarkStart w:id="110" w:name="_Toc23261"/>
      <w:bookmarkStart w:id="111" w:name="_Toc48649707"/>
      <w:bookmarkStart w:id="112" w:name="_Toc79154670"/>
      <w:bookmarkStart w:id="113" w:name="_Toc1427"/>
      <w:bookmarkStart w:id="114" w:name="_Toc79392606"/>
      <w:bookmarkStart w:id="115" w:name="_Toc123112234"/>
      <w:bookmarkStart w:id="116" w:name="_Toc23822"/>
      <w:bookmarkStart w:id="117" w:name="_Toc4003"/>
      <w:bookmarkStart w:id="118" w:name="_Toc5681"/>
      <w:bookmarkStart w:id="119" w:name="_Toc610"/>
      <w:bookmarkStart w:id="120" w:name="_Toc7920"/>
      <w:bookmarkStart w:id="121" w:name="_Toc98560352"/>
      <w:bookmarkStart w:id="122" w:name="_Toc123051452"/>
      <w:bookmarkStart w:id="123" w:name="_Toc141703886"/>
      <w:bookmarkStart w:id="124" w:name="_Toc139991736"/>
      <w:bookmarkStart w:id="125" w:name="_Toc17244"/>
      <w:bookmarkStart w:id="126" w:name="_Toc10463"/>
      <w:bookmarkStart w:id="127" w:name="_Toc1270"/>
      <w:bookmarkStart w:id="128" w:name="_Toc20733"/>
      <w:bookmarkStart w:id="129" w:name="_Toc74065743"/>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pPr>
        <w:pStyle w:val="43"/>
        <w:spacing w:line="360" w:lineRule="auto"/>
        <w:ind w:firstLine="361"/>
        <w:rPr>
          <w:rFonts w:hAnsi="宋体"/>
          <w:b/>
          <w:color w:val="auto"/>
          <w:sz w:val="18"/>
          <w:szCs w:val="18"/>
        </w:rPr>
      </w:pPr>
      <w:r>
        <w:rPr>
          <w:rFonts w:hint="eastAsia" w:hAnsi="宋体"/>
          <w:b/>
          <w:color w:val="auto"/>
          <w:sz w:val="18"/>
          <w:szCs w:val="18"/>
        </w:rPr>
        <w:t>（一）估值目的</w:t>
      </w:r>
    </w:p>
    <w:p>
      <w:pPr>
        <w:pStyle w:val="43"/>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43"/>
        <w:spacing w:line="360" w:lineRule="auto"/>
        <w:ind w:firstLine="361"/>
        <w:rPr>
          <w:rFonts w:hAnsi="宋体"/>
          <w:b/>
          <w:color w:val="auto"/>
          <w:sz w:val="18"/>
          <w:szCs w:val="18"/>
        </w:rPr>
      </w:pPr>
      <w:r>
        <w:rPr>
          <w:rFonts w:hint="eastAsia" w:hAnsi="宋体"/>
          <w:b/>
          <w:color w:val="auto"/>
          <w:sz w:val="18"/>
          <w:szCs w:val="18"/>
        </w:rPr>
        <w:t>（二）估值日</w:t>
      </w:r>
    </w:p>
    <w:p>
      <w:pPr>
        <w:pStyle w:val="43"/>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43"/>
        <w:spacing w:line="360" w:lineRule="auto"/>
        <w:ind w:firstLine="361"/>
        <w:rPr>
          <w:rFonts w:hAnsi="宋体"/>
          <w:b/>
          <w:color w:val="auto"/>
          <w:sz w:val="18"/>
          <w:szCs w:val="18"/>
        </w:rPr>
      </w:pPr>
      <w:r>
        <w:rPr>
          <w:rFonts w:hint="eastAsia" w:hAnsi="宋体"/>
          <w:b/>
          <w:color w:val="auto"/>
          <w:sz w:val="18"/>
          <w:szCs w:val="18"/>
        </w:rPr>
        <w:t>（三）估值对象</w:t>
      </w:r>
    </w:p>
    <w:p>
      <w:pPr>
        <w:pStyle w:val="43"/>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43"/>
        <w:spacing w:line="360" w:lineRule="auto"/>
        <w:ind w:firstLine="361"/>
        <w:rPr>
          <w:rFonts w:hAnsi="宋体"/>
          <w:b/>
          <w:color w:val="auto"/>
          <w:sz w:val="18"/>
          <w:szCs w:val="18"/>
        </w:rPr>
      </w:pPr>
      <w:r>
        <w:rPr>
          <w:rFonts w:hint="eastAsia" w:hAnsi="宋体"/>
          <w:b/>
          <w:color w:val="auto"/>
          <w:sz w:val="18"/>
          <w:szCs w:val="18"/>
        </w:rPr>
        <w:t>（四）估值方法</w:t>
      </w:r>
    </w:p>
    <w:p>
      <w:pPr>
        <w:pStyle w:val="43"/>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43"/>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43"/>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43"/>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43"/>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43"/>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43"/>
        <w:spacing w:line="360" w:lineRule="auto"/>
        <w:ind w:firstLine="361"/>
        <w:rPr>
          <w:rFonts w:hAnsi="宋体"/>
          <w:b/>
          <w:color w:val="auto"/>
          <w:sz w:val="18"/>
          <w:szCs w:val="18"/>
        </w:rPr>
      </w:pPr>
      <w:r>
        <w:rPr>
          <w:rFonts w:hint="eastAsia" w:hAnsi="宋体"/>
          <w:b/>
          <w:color w:val="auto"/>
          <w:sz w:val="18"/>
          <w:szCs w:val="18"/>
        </w:rPr>
        <w:t>（五）估值程序</w:t>
      </w:r>
    </w:p>
    <w:p>
      <w:pPr>
        <w:pStyle w:val="43"/>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43"/>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43"/>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43"/>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43"/>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43"/>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43"/>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130" w:name="_Hlt70481650"/>
      <w:bookmarkEnd w:id="130"/>
      <w:bookmarkStart w:id="131" w:name="_Toc29251"/>
      <w:bookmarkStart w:id="132" w:name="_Toc6810"/>
      <w:bookmarkStart w:id="133" w:name="_Toc31644"/>
      <w:bookmarkStart w:id="134" w:name="_Toc31235"/>
      <w:bookmarkStart w:id="135" w:name="_Toc6405"/>
      <w:bookmarkStart w:id="136" w:name="_Toc74065744"/>
      <w:bookmarkStart w:id="137" w:name="_Toc139991737"/>
      <w:bookmarkStart w:id="138" w:name="_Toc98560353"/>
      <w:bookmarkStart w:id="139" w:name="_Toc12245"/>
      <w:bookmarkStart w:id="140" w:name="_Toc123051453"/>
      <w:bookmarkStart w:id="141" w:name="_Toc26207"/>
      <w:bookmarkStart w:id="142" w:name="_Toc15143"/>
      <w:bookmarkStart w:id="143" w:name="_Toc123112235"/>
      <w:bookmarkStart w:id="144" w:name="_Toc31653"/>
      <w:bookmarkStart w:id="145" w:name="_Toc79154671"/>
      <w:bookmarkStart w:id="146" w:name="_Toc141703887"/>
      <w:bookmarkStart w:id="147" w:name="_Toc14835"/>
      <w:bookmarkStart w:id="148" w:name="_Toc3601"/>
      <w:bookmarkStart w:id="149" w:name="_Toc123102454"/>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Start w:id="150" w:name="_Hlt55355235"/>
      <w:bookmarkEnd w:id="150"/>
      <w:bookmarkStart w:id="151" w:name="_Toc15118234"/>
      <w:bookmarkStart w:id="152" w:name="_Toc57530239"/>
      <w:bookmarkStart w:id="153" w:name="_Toc79392580"/>
      <w:bookmarkStart w:id="154" w:name="_Toc523711668"/>
    </w:p>
    <w:p>
      <w:pPr>
        <w:pStyle w:val="43"/>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43"/>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43"/>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43"/>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43"/>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43"/>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43"/>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43"/>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43"/>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43"/>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43"/>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43"/>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43"/>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43"/>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43"/>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43"/>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43"/>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bookmarkEnd w:id="151"/>
    <w:bookmarkEnd w:id="152"/>
    <w:bookmarkEnd w:id="153"/>
    <w:bookmarkEnd w:id="154"/>
    <w:p>
      <w:pPr>
        <w:pStyle w:val="2"/>
        <w:spacing w:before="0" w:after="0" w:line="360" w:lineRule="auto"/>
        <w:jc w:val="center"/>
        <w:rPr>
          <w:rFonts w:ascii="Times New Roman"/>
          <w:sz w:val="30"/>
        </w:rPr>
      </w:pPr>
      <w:bookmarkStart w:id="155" w:name="_Hlt88897298"/>
      <w:bookmarkEnd w:id="155"/>
      <w:bookmarkStart w:id="156" w:name="_Hlt88825574"/>
      <w:bookmarkEnd w:id="156"/>
      <w:bookmarkStart w:id="157" w:name="_Toc3321"/>
      <w:bookmarkStart w:id="158" w:name="_Toc27112"/>
      <w:bookmarkStart w:id="159" w:name="_Toc79392583"/>
      <w:bookmarkStart w:id="160" w:name="_Toc4559"/>
      <w:bookmarkStart w:id="161" w:name="_Toc141703888"/>
      <w:bookmarkStart w:id="162" w:name="_Toc139991738"/>
      <w:bookmarkStart w:id="163" w:name="_Toc7058"/>
      <w:bookmarkStart w:id="164" w:name="_Toc25783"/>
      <w:bookmarkStart w:id="165" w:name="_Toc9706"/>
      <w:bookmarkStart w:id="166" w:name="_Toc3771"/>
      <w:bookmarkStart w:id="167" w:name="_Toc123051454"/>
      <w:bookmarkStart w:id="168" w:name="_Toc74065745"/>
      <w:bookmarkStart w:id="169" w:name="_Toc18567"/>
      <w:bookmarkStart w:id="170" w:name="_Toc11030"/>
      <w:bookmarkStart w:id="171" w:name="_Toc6447"/>
      <w:bookmarkStart w:id="172" w:name="_Toc10650"/>
      <w:bookmarkStart w:id="173" w:name="_Toc98560354"/>
      <w:bookmarkStart w:id="174" w:name="_Toc79154672"/>
      <w:bookmarkStart w:id="175" w:name="_Toc123112236"/>
      <w:bookmarkStart w:id="176" w:name="_Toc123102455"/>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43"/>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43"/>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43"/>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43"/>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43"/>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bookmarkStart w:id="177" w:name="_Toc1745"/>
      <w:bookmarkStart w:id="178" w:name="_Toc3963"/>
      <w:r>
        <w:br w:type="page"/>
      </w:r>
      <w:bookmarkStart w:id="179" w:name="_Toc16164"/>
      <w:bookmarkStart w:id="180" w:name="_Toc139991739"/>
      <w:bookmarkStart w:id="181" w:name="_Toc3080"/>
      <w:bookmarkStart w:id="182" w:name="_Toc21735"/>
      <w:bookmarkStart w:id="183" w:name="_Toc18383"/>
      <w:bookmarkStart w:id="184" w:name="_Toc123051455"/>
      <w:bookmarkStart w:id="185" w:name="_Toc141703889"/>
      <w:bookmarkStart w:id="186" w:name="_Toc98560355"/>
      <w:bookmarkStart w:id="187" w:name="_Toc3572"/>
      <w:bookmarkStart w:id="188" w:name="_Toc123102456"/>
      <w:bookmarkStart w:id="189" w:name="_Toc123112237"/>
      <w:bookmarkStart w:id="190" w:name="_Toc74065746"/>
      <w:bookmarkStart w:id="191" w:name="_Toc10398"/>
      <w:bookmarkStart w:id="192" w:name="_Toc31821"/>
      <w:bookmarkStart w:id="193" w:name="_Toc725"/>
      <w:bookmarkStart w:id="194" w:name="_Toc79154673"/>
      <w:bookmarkStart w:id="195" w:name="_Toc18206"/>
      <w:r>
        <w:rPr>
          <w:rFonts w:hint="eastAsia"/>
          <w:sz w:val="30"/>
        </w:rPr>
        <w:t>第十条</w:t>
      </w:r>
      <w:r>
        <w:rPr>
          <w:sz w:val="30"/>
        </w:rPr>
        <w:t xml:space="preserve">  </w:t>
      </w:r>
      <w:r>
        <w:rPr>
          <w:rFonts w:hint="eastAsia"/>
          <w:sz w:val="30"/>
        </w:rPr>
        <w:t>理财产品的终止与清算</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p>
      <w:pPr>
        <w:spacing w:line="360" w:lineRule="auto"/>
        <w:ind w:firstLine="361" w:firstLineChars="200"/>
        <w:rPr>
          <w:rFonts w:asciiTheme="majorEastAsia" w:hAnsiTheme="majorEastAsia" w:eastAsiaTheme="majorEastAsia"/>
          <w:b/>
          <w:bCs/>
          <w:sz w:val="18"/>
          <w:szCs w:val="18"/>
        </w:rPr>
      </w:pPr>
      <w:bookmarkStart w:id="196" w:name="_Toc15118245"/>
      <w:bookmarkStart w:id="197" w:name="_Toc57530252"/>
      <w:bookmarkStart w:id="198" w:name="_Toc79392593"/>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bookmarkEnd w:id="196"/>
    <w:bookmarkEnd w:id="197"/>
    <w:bookmarkEnd w:id="198"/>
    <w:p>
      <w:pPr>
        <w:pStyle w:val="2"/>
        <w:spacing w:before="0" w:after="0" w:line="360" w:lineRule="auto"/>
        <w:jc w:val="center"/>
        <w:rPr>
          <w:rFonts w:ascii="Times New Roman"/>
          <w:sz w:val="30"/>
        </w:rPr>
      </w:pPr>
      <w:r>
        <w:rPr>
          <w:rFonts w:ascii="Times New Roman"/>
          <w:b w:val="0"/>
          <w:bCs w:val="0"/>
          <w:kern w:val="2"/>
        </w:rPr>
        <w:br w:type="page"/>
      </w:r>
      <w:bookmarkStart w:id="199" w:name="_Toc123051456"/>
      <w:bookmarkStart w:id="200" w:name="_Toc5170"/>
      <w:bookmarkStart w:id="201" w:name="_Toc17198"/>
      <w:bookmarkStart w:id="202" w:name="_Toc26192"/>
      <w:bookmarkStart w:id="203" w:name="_Toc79154674"/>
      <w:bookmarkStart w:id="204" w:name="_Toc21237"/>
      <w:bookmarkStart w:id="205" w:name="_Toc739"/>
      <w:bookmarkStart w:id="206" w:name="_Toc139991740"/>
      <w:bookmarkStart w:id="207" w:name="_Toc17920"/>
      <w:bookmarkStart w:id="208" w:name="_Toc141703890"/>
      <w:bookmarkStart w:id="209" w:name="_Toc79392622"/>
      <w:bookmarkStart w:id="210" w:name="_Toc8791"/>
      <w:bookmarkStart w:id="211" w:name="_Toc74065747"/>
      <w:bookmarkStart w:id="212" w:name="_Toc98560356"/>
      <w:bookmarkStart w:id="213" w:name="_Toc32092"/>
      <w:bookmarkStart w:id="214" w:name="_Toc3329"/>
      <w:bookmarkStart w:id="215" w:name="_Toc123112238"/>
      <w:bookmarkStart w:id="216" w:name="_Toc29408"/>
      <w:bookmarkStart w:id="217" w:name="_Toc48649708"/>
      <w:bookmarkStart w:id="218" w:name="_Toc32584"/>
      <w:bookmarkStart w:id="219" w:name="_Toc123102457"/>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pPr>
        <w:spacing w:line="360" w:lineRule="auto"/>
        <w:ind w:firstLine="361" w:firstLineChars="200"/>
        <w:rPr>
          <w:rFonts w:ascii="宋体" w:hAnsi="宋体"/>
          <w:b/>
          <w:bCs/>
          <w:sz w:val="18"/>
          <w:szCs w:val="18"/>
        </w:rPr>
      </w:pPr>
      <w:bookmarkStart w:id="220" w:name="_Toc85201647"/>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bookmarkEnd w:id="220"/>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221" w:name="_Toc79154675"/>
      <w:bookmarkStart w:id="222" w:name="_Toc20251"/>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221"/>
      <w:bookmarkEnd w:id="222"/>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43"/>
        <w:spacing w:line="360" w:lineRule="auto"/>
        <w:rPr>
          <w:rFonts w:hAnsi="宋体"/>
          <w:sz w:val="18"/>
          <w:szCs w:val="18"/>
        </w:rPr>
      </w:pPr>
    </w:p>
    <w:p>
      <w:pPr>
        <w:spacing w:line="360" w:lineRule="auto"/>
        <w:jc w:val="left"/>
        <w:rPr>
          <w:rFonts w:hint="eastAsia" w:ascii="宋体" w:hAnsi="宋体"/>
          <w:b/>
          <w:sz w:val="18"/>
          <w:szCs w:val="18"/>
        </w:rPr>
        <w:sectPr>
          <w:headerReference r:id="rId9" w:type="default"/>
          <w:footerReference r:id="rId10" w:type="default"/>
          <w:pgSz w:w="11906" w:h="16838"/>
          <w:pgMar w:top="1276" w:right="1800" w:bottom="1418" w:left="1800" w:header="567" w:footer="850" w:gutter="0"/>
          <w:pgNumType w:start="1"/>
          <w:cols w:space="425" w:num="1"/>
          <w:docGrid w:type="lines" w:linePitch="312" w:charSpace="0"/>
        </w:sectPr>
      </w:pPr>
    </w:p>
    <w:p>
      <w:pPr>
        <w:widowControl/>
        <w:spacing w:before="156"/>
        <w:jc w:val="center"/>
        <w:rPr>
          <w:rFonts w:ascii="黑体" w:hAnsi="黑体" w:eastAsia="黑体"/>
          <w:b/>
          <w:sz w:val="28"/>
          <w:szCs w:val="28"/>
        </w:rPr>
      </w:pPr>
      <w:r>
        <w:rPr>
          <w:rFonts w:hint="eastAsia" w:ascii="黑体" w:hAnsi="黑体" w:eastAsia="黑体"/>
          <w:b/>
          <w:sz w:val="28"/>
          <w:szCs w:val="28"/>
        </w:rPr>
        <w:t>兴银理财【添利】理财产品</w:t>
      </w:r>
    </w:p>
    <w:p>
      <w:pPr>
        <w:widowControl/>
        <w:spacing w:before="156"/>
        <w:jc w:val="center"/>
        <w:rPr>
          <w:rFonts w:ascii="黑体" w:hAnsi="黑体" w:eastAsia="黑体"/>
          <w:b/>
          <w:sz w:val="28"/>
          <w:szCs w:val="28"/>
        </w:rPr>
      </w:pPr>
      <w:r>
        <w:rPr>
          <w:rFonts w:hint="eastAsia" w:ascii="黑体" w:hAnsi="黑体" w:eastAsia="黑体"/>
          <w:b/>
          <w:sz w:val="28"/>
          <w:szCs w:val="28"/>
        </w:rPr>
        <w:t>（代理）销售协议书</w:t>
      </w:r>
    </w:p>
    <w:p>
      <w:pPr>
        <w:autoSpaceDE w:val="0"/>
        <w:autoSpaceDN w:val="0"/>
        <w:adjustRightInd w:val="0"/>
        <w:snapToGrid w:val="0"/>
        <w:spacing w:before="156" w:beforeLines="50" w:line="320" w:lineRule="exact"/>
        <w:jc w:val="center"/>
        <w:rPr>
          <w:rFonts w:ascii="宋体" w:hAnsi="宋体"/>
          <w:b/>
          <w:sz w:val="32"/>
          <w:szCs w:val="32"/>
        </w:rPr>
      </w:pPr>
      <w:r>
        <w:rPr>
          <w:rFonts w:hint="eastAsia" w:ascii="宋体" w:hAnsi="宋体"/>
          <w:b/>
          <w:sz w:val="24"/>
        </w:rPr>
        <w:t>理财非存款、产品有风险、投资须谨慎</w:t>
      </w:r>
    </w:p>
    <w:p>
      <w:pPr>
        <w:tabs>
          <w:tab w:val="left" w:pos="8070"/>
          <w:tab w:val="right" w:pos="8306"/>
        </w:tabs>
        <w:autoSpaceDE w:val="0"/>
        <w:autoSpaceDN w:val="0"/>
        <w:adjustRightInd w:val="0"/>
        <w:snapToGrid w:val="0"/>
        <w:spacing w:before="156" w:beforeLines="50" w:line="320" w:lineRule="exact"/>
        <w:jc w:val="center"/>
        <w:rPr>
          <w:rFonts w:ascii="宋体" w:hAnsi="宋体"/>
          <w:b/>
          <w:szCs w:val="21"/>
          <w:u w:val="single"/>
        </w:rPr>
      </w:pPr>
      <w:r>
        <w:rPr>
          <w:rFonts w:hint="eastAsia" w:ascii="宋体" w:hAnsi="宋体"/>
          <w:b/>
          <w:szCs w:val="21"/>
        </w:rPr>
        <w:t>协议编号：</w:t>
      </w:r>
    </w:p>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tbl>
      <w:tblPr>
        <w:tblStyle w:val="24"/>
        <w:tblW w:w="7598"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817"/>
        <w:gridCol w:w="635"/>
        <w:gridCol w:w="1085"/>
        <w:gridCol w:w="1384"/>
        <w:gridCol w:w="1234"/>
        <w:gridCol w:w="24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449" w:hRule="exact"/>
          <w:jc w:val="center"/>
        </w:trPr>
        <w:tc>
          <w:tcPr>
            <w:tcW w:w="7598"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20" w:lineRule="exact"/>
              <w:jc w:val="center"/>
              <w:rPr>
                <w:rFonts w:ascii="宋体" w:hAnsi="宋体"/>
                <w:b/>
                <w:bCs/>
                <w:sz w:val="28"/>
                <w:szCs w:val="28"/>
              </w:rPr>
            </w:pPr>
            <w:r>
              <w:rPr>
                <w:rFonts w:hint="eastAsia" w:ascii="宋体" w:hAnsi="宋体"/>
                <w:b/>
                <w:bCs/>
                <w:sz w:val="28"/>
                <w:szCs w:val="28"/>
              </w:rPr>
              <w:t>信息栏</w:t>
            </w:r>
          </w:p>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cantSplit/>
          <w:trHeight w:val="170" w:hRule="exact"/>
          <w:jc w:val="center"/>
        </w:trPr>
        <w:tc>
          <w:tcPr>
            <w:tcW w:w="7598" w:type="dxa"/>
            <w:gridSpan w:val="6"/>
            <w:shd w:val="pct10" w:color="A5A5A5" w:themeColor="background1" w:themeShade="A6" w:fill="A5A5A5" w:themeFill="background1" w:themeFillShade="A6"/>
            <w:vAlign w:val="center"/>
          </w:tcPr>
          <w:p>
            <w:pPr>
              <w:pStyle w:val="15"/>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投资者信息</w:t>
            </w:r>
          </w:p>
        </w:tc>
        <w:tc>
          <w:tcPr>
            <w:tcW w:w="635"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个人投资者适用</w:t>
            </w: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姓名</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shd w:val="solid" w:color="FFFFFF" w:fill="FFFFFF"/>
            <w:vAlign w:val="center"/>
          </w:tcPr>
          <w:p>
            <w:pPr>
              <w:spacing w:line="320" w:lineRule="exact"/>
              <w:jc w:val="left"/>
              <w:rPr>
                <w:rFonts w:ascii="宋体" w:hAnsi="宋体"/>
                <w:b/>
                <w:bCs/>
                <w:sz w:val="18"/>
                <w:szCs w:val="18"/>
              </w:rPr>
            </w:pPr>
          </w:p>
        </w:tc>
        <w:tc>
          <w:tcPr>
            <w:tcW w:w="1234"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电子邮箱</w:t>
            </w:r>
          </w:p>
        </w:tc>
        <w:tc>
          <w:tcPr>
            <w:tcW w:w="2443" w:type="dxa"/>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shd w:val="solid" w:color="FFFFFF" w:fill="FFFFFF"/>
            <w:vAlign w:val="center"/>
          </w:tcPr>
          <w:p>
            <w:pPr>
              <w:spacing w:line="320" w:lineRule="exact"/>
              <w:jc w:val="left"/>
              <w:rPr>
                <w:rFonts w:ascii="宋体" w:hAnsi="宋体"/>
                <w:b/>
                <w:bCs/>
                <w:sz w:val="18"/>
                <w:szCs w:val="18"/>
              </w:rPr>
            </w:pPr>
          </w:p>
        </w:tc>
        <w:tc>
          <w:tcPr>
            <w:tcW w:w="1085" w:type="dxa"/>
            <w:tcBorders>
              <w:bottom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bottom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restart"/>
            <w:tcBorders>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机构投资者适用</w:t>
            </w: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w:t>
            </w:r>
            <w:r>
              <w:rPr>
                <w:rFonts w:ascii="宋体" w:hAnsi="宋体"/>
                <w:b/>
                <w:bCs/>
                <w:sz w:val="18"/>
                <w:szCs w:val="18"/>
              </w:rPr>
              <w:t>名称</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证件类型</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证件号码</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法定代表人或授权代表</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联系电话</w:t>
            </w:r>
          </w:p>
        </w:tc>
        <w:tc>
          <w:tcPr>
            <w:tcW w:w="138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23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280" w:lineRule="exact"/>
              <w:jc w:val="left"/>
              <w:rPr>
                <w:rFonts w:ascii="宋体" w:hAnsi="宋体"/>
                <w:b/>
                <w:bCs/>
                <w:sz w:val="18"/>
                <w:szCs w:val="18"/>
              </w:rPr>
            </w:pPr>
            <w:r>
              <w:rPr>
                <w:rFonts w:hint="eastAsia" w:ascii="宋体" w:hAnsi="宋体"/>
                <w:b/>
                <w:bCs/>
                <w:sz w:val="18"/>
                <w:szCs w:val="18"/>
              </w:rPr>
              <w:t>电子邮箱</w:t>
            </w:r>
          </w:p>
        </w:tc>
        <w:tc>
          <w:tcPr>
            <w:tcW w:w="2443"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635" w:type="dxa"/>
            <w:vMerge w:val="continue"/>
            <w:tcBorders>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联系地址</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817" w:type="dxa"/>
            <w:vMerge w:val="continue"/>
            <w:tcBorders>
              <w:bottom w:val="single" w:color="auto" w:sz="12" w:space="0"/>
            </w:tcBorders>
            <w:shd w:val="solid" w:color="FFFFFF" w:fill="FFFFFF"/>
            <w:vAlign w:val="center"/>
          </w:tcPr>
          <w:p>
            <w:pPr>
              <w:spacing w:line="320" w:lineRule="exact"/>
              <w:jc w:val="left"/>
              <w:rPr>
                <w:rFonts w:ascii="宋体" w:hAnsi="宋体"/>
                <w:b/>
                <w:bCs/>
                <w:sz w:val="18"/>
                <w:szCs w:val="18"/>
              </w:rPr>
            </w:pPr>
          </w:p>
        </w:tc>
        <w:tc>
          <w:tcPr>
            <w:tcW w:w="635" w:type="dxa"/>
            <w:vMerge w:val="continue"/>
            <w:tcBorders>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c>
          <w:tcPr>
            <w:tcW w:w="1085"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邮政编码</w:t>
            </w:r>
          </w:p>
        </w:tc>
        <w:tc>
          <w:tcPr>
            <w:tcW w:w="5061"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20" w:lineRule="exact"/>
              <w:jc w:val="left"/>
              <w:rPr>
                <w:rFonts w:ascii="宋体" w:hAnsi="宋体"/>
                <w:b/>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pStyle w:val="15"/>
              <w:pBdr>
                <w:bottom w:val="none" w:color="auto" w:sz="0" w:space="0"/>
              </w:pBdr>
              <w:spacing w:line="320" w:lineRule="exact"/>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restart"/>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销售</w:t>
            </w:r>
            <w:r>
              <w:rPr>
                <w:rFonts w:ascii="宋体" w:hAnsi="宋体"/>
                <w:b/>
                <w:bCs/>
                <w:sz w:val="18"/>
                <w:szCs w:val="18"/>
              </w:rPr>
              <w:t>机构信息</w:t>
            </w: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hAnsi="宋体"/>
                <w:sz w:val="18"/>
                <w:szCs w:val="18"/>
              </w:rPr>
              <w:t>★</w:t>
            </w:r>
            <w:r>
              <w:rPr>
                <w:rFonts w:hint="eastAsia" w:ascii="宋体" w:hAnsi="宋体"/>
                <w:b/>
                <w:bCs/>
                <w:sz w:val="18"/>
                <w:szCs w:val="18"/>
              </w:rPr>
              <w:t>销售性质</w:t>
            </w:r>
          </w:p>
        </w:tc>
        <w:tc>
          <w:tcPr>
            <w:tcW w:w="5061" w:type="dxa"/>
            <w:gridSpan w:val="3"/>
            <w:shd w:val="solid" w:color="FFFFFF" w:fill="FFFFFF"/>
            <w:vAlign w:val="center"/>
          </w:tcPr>
          <w:p>
            <w:pPr>
              <w:spacing w:line="320" w:lineRule="exact"/>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 直销：产品管理人销售</w:t>
            </w:r>
          </w:p>
          <w:p>
            <w:pPr>
              <w:spacing w:line="320" w:lineRule="exact"/>
              <w:jc w:val="left"/>
              <w:rPr>
                <w:rFonts w:ascii="宋体" w:hAnsi="宋体"/>
                <w:bCs/>
                <w:sz w:val="18"/>
                <w:szCs w:val="18"/>
              </w:rPr>
            </w:pPr>
            <w:r>
              <w:rPr>
                <w:rFonts w:hint="eastAsia" w:asciiTheme="majorEastAsia" w:hAnsiTheme="majorEastAsia" w:eastAsiaTheme="majorEastAsia"/>
                <w:bCs/>
                <w:sz w:val="18"/>
                <w:szCs w:val="18"/>
              </w:rPr>
              <w:t>■ 代销：代理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销售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机构名称</w:t>
            </w:r>
          </w:p>
        </w:tc>
        <w:tc>
          <w:tcPr>
            <w:tcW w:w="5061" w:type="dxa"/>
            <w:gridSpan w:val="3"/>
            <w:shd w:val="solid" w:color="FFFFFF" w:fill="FFFFFF"/>
            <w:vAlign w:val="center"/>
          </w:tcPr>
          <w:p>
            <w:pPr>
              <w:spacing w:line="320" w:lineRule="exact"/>
              <w:jc w:val="left"/>
              <w:rPr>
                <w:rFonts w:ascii="宋体" w:hAnsi="宋体"/>
                <w:bCs/>
                <w:sz w:val="18"/>
                <w:szCs w:val="18"/>
              </w:rPr>
            </w:pPr>
            <w:r>
              <w:rPr>
                <w:rFonts w:hint="eastAsia" w:ascii="宋体" w:hAnsi="宋体"/>
                <w:bCs/>
                <w:sz w:val="18"/>
                <w:szCs w:val="18"/>
              </w:rPr>
              <w:t>【</w:t>
            </w:r>
            <w:r>
              <w:rPr>
                <w:rFonts w:hint="eastAsia" w:ascii="宋体" w:hAnsi="宋体"/>
                <w:sz w:val="18"/>
                <w:szCs w:val="18"/>
              </w:rPr>
              <w:t>福建省农村信用社联合社</w:t>
            </w:r>
            <w:r>
              <w:rPr>
                <w:rFonts w:hint="eastAsia" w:ascii="宋体" w:hAnsi="宋体"/>
                <w:bCs/>
                <w:sz w:val="18"/>
                <w:szCs w:val="18"/>
                <w:lang w:val="en-US" w:eastAsia="zh-CN"/>
              </w:rPr>
              <w:t xml:space="preserve"> </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2" w:hRule="atLeast"/>
          <w:jc w:val="center"/>
        </w:trPr>
        <w:tc>
          <w:tcPr>
            <w:tcW w:w="817" w:type="dxa"/>
            <w:vMerge w:val="continue"/>
            <w:shd w:val="solid" w:color="FFFFFF" w:fill="FFFFFF"/>
            <w:vAlign w:val="center"/>
          </w:tcPr>
          <w:p>
            <w:pPr>
              <w:spacing w:line="320" w:lineRule="exact"/>
              <w:jc w:val="left"/>
              <w:rPr>
                <w:rFonts w:ascii="宋体" w:hAnsi="宋体"/>
                <w:b/>
                <w:bCs/>
                <w:sz w:val="18"/>
                <w:szCs w:val="18"/>
              </w:rPr>
            </w:pPr>
          </w:p>
        </w:tc>
        <w:tc>
          <w:tcPr>
            <w:tcW w:w="1720" w:type="dxa"/>
            <w:gridSpan w:val="2"/>
            <w:shd w:val="solid" w:color="FFFFFF" w:fill="FFFFFF"/>
            <w:vAlign w:val="center"/>
          </w:tcPr>
          <w:p>
            <w:pPr>
              <w:spacing w:line="320" w:lineRule="exact"/>
              <w:jc w:val="left"/>
              <w:rPr>
                <w:rFonts w:ascii="宋体" w:hAnsi="宋体"/>
                <w:b/>
                <w:bCs/>
                <w:sz w:val="18"/>
                <w:szCs w:val="18"/>
              </w:rPr>
            </w:pPr>
            <w:r>
              <w:rPr>
                <w:rFonts w:hint="eastAsia" w:ascii="宋体" w:hAnsi="宋体"/>
                <w:b/>
                <w:bCs/>
                <w:sz w:val="18"/>
                <w:szCs w:val="18"/>
              </w:rPr>
              <w:t>机构简介</w:t>
            </w:r>
          </w:p>
        </w:tc>
        <w:tc>
          <w:tcPr>
            <w:tcW w:w="5061" w:type="dxa"/>
            <w:gridSpan w:val="3"/>
            <w:shd w:val="solid" w:color="FFFFFF" w:fill="FFFFFF"/>
            <w:vAlign w:val="center"/>
          </w:tcPr>
          <w:p>
            <w:pPr>
              <w:pStyle w:val="43"/>
              <w:jc w:val="both"/>
            </w:pPr>
            <w:r>
              <w:rPr>
                <w:rFonts w:hint="eastAsia" w:ascii="宋体" w:hAnsi="宋体"/>
                <w:bCs/>
                <w:sz w:val="18"/>
                <w:szCs w:val="18"/>
              </w:rPr>
              <w:t>【</w:t>
            </w:r>
            <w:r>
              <w:rPr>
                <w:rFonts w:hint="eastAsia" w:ascii="宋体" w:hAnsi="宋体"/>
                <w:bCs/>
                <w:sz w:val="18"/>
                <w:szCs w:val="18"/>
                <w:lang w:val="en-US" w:eastAsia="zh-CN"/>
              </w:rPr>
              <w:t xml:space="preserve"> </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7598" w:type="dxa"/>
            <w:gridSpan w:val="6"/>
            <w:shd w:val="pct10" w:color="FFFFFF" w:fill="A5A5A5" w:themeFill="background1" w:themeFillShade="A6"/>
            <w:vAlign w:val="center"/>
          </w:tcPr>
          <w:p>
            <w:pPr>
              <w:spacing w:line="320" w:lineRule="exact"/>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817" w:type="dxa"/>
            <w:shd w:val="solid" w:color="FFFFFF" w:fill="FFFFFF"/>
            <w:vAlign w:val="center"/>
          </w:tcPr>
          <w:p>
            <w:pPr>
              <w:pStyle w:val="15"/>
              <w:pBdr>
                <w:bottom w:val="none" w:color="auto" w:sz="0" w:space="0"/>
              </w:pBdr>
              <w:tabs>
                <w:tab w:val="clear" w:pos="4153"/>
                <w:tab w:val="clear" w:pos="8306"/>
              </w:tabs>
              <w:snapToGrid/>
              <w:spacing w:line="320" w:lineRule="exact"/>
              <w:rPr>
                <w:rFonts w:ascii="宋体" w:hAnsi="宋体"/>
                <w:b/>
              </w:rPr>
            </w:pPr>
            <w:r>
              <w:rPr>
                <w:rFonts w:hint="eastAsia" w:ascii="宋体" w:hAnsi="宋体"/>
                <w:b/>
              </w:rPr>
              <w:t>理财产品指定账户信息</w:t>
            </w:r>
          </w:p>
        </w:tc>
        <w:tc>
          <w:tcPr>
            <w:tcW w:w="6781" w:type="dxa"/>
            <w:gridSpan w:val="5"/>
            <w:shd w:val="solid" w:color="FFFFFF" w:fill="FFFFFF"/>
            <w:vAlign w:val="center"/>
          </w:tcPr>
          <w:p>
            <w:pPr>
              <w:pStyle w:val="15"/>
              <w:pBdr>
                <w:bottom w:val="none" w:color="auto" w:sz="0" w:space="0"/>
              </w:pBdr>
              <w:tabs>
                <w:tab w:val="clear" w:pos="4153"/>
                <w:tab w:val="clear" w:pos="8306"/>
              </w:tabs>
              <w:snapToGrid/>
              <w:spacing w:line="320" w:lineRule="exact"/>
              <w:jc w:val="left"/>
              <w:rPr>
                <w:rFonts w:ascii="宋体" w:hAnsi="宋体"/>
                <w:b/>
              </w:rPr>
            </w:pPr>
            <w:r>
              <w:rPr>
                <w:rFonts w:hint="eastAsia" w:ascii="宋体" w:hAnsi="宋体"/>
              </w:rPr>
              <w:t>投资者</w:t>
            </w:r>
            <w:r>
              <w:rPr>
                <w:rFonts w:ascii="宋体" w:hAnsi="宋体"/>
              </w:rPr>
              <w:t>在销售机构开立</w:t>
            </w:r>
            <w:r>
              <w:rPr>
                <w:rFonts w:hint="eastAsia" w:ascii="宋体" w:hAnsi="宋体"/>
              </w:rPr>
              <w:t>理财卡结算账户</w:t>
            </w:r>
            <w:r>
              <w:rPr>
                <w:rFonts w:hint="eastAsia" w:ascii="宋体" w:hAnsi="宋体"/>
                <w:spacing w:val="-6"/>
              </w:rPr>
              <w:t>或存折结算账户（</w:t>
            </w:r>
            <w:r>
              <w:rPr>
                <w:rFonts w:hint="eastAsia" w:ascii="宋体" w:hAnsi="宋体"/>
              </w:rPr>
              <w:t>以下简称“指定账户”），</w:t>
            </w:r>
            <w:r>
              <w:rPr>
                <w:rFonts w:ascii="宋体" w:hAnsi="宋体"/>
              </w:rPr>
              <w:t>用于</w:t>
            </w:r>
            <w:r>
              <w:rPr>
                <w:rFonts w:hint="eastAsia" w:ascii="宋体" w:hAnsi="宋体"/>
              </w:rPr>
              <w:t>本产品的</w:t>
            </w:r>
            <w:r>
              <w:rPr>
                <w:rFonts w:ascii="宋体" w:hAnsi="宋体"/>
              </w:rPr>
              <w:t>资金划转及</w:t>
            </w:r>
            <w:r>
              <w:rPr>
                <w:rFonts w:hint="eastAsia" w:ascii="宋体" w:hAnsi="宋体"/>
              </w:rPr>
              <w:t>产品分配，账号：</w:t>
            </w:r>
            <w:r>
              <w:rPr>
                <w:rFonts w:ascii="宋体" w:hAnsi="宋体"/>
                <w:u w:val="single"/>
              </w:rPr>
              <w:t xml:space="preserve">　                     </w:t>
            </w:r>
            <w:r>
              <w:rPr>
                <w:rFonts w:hint="eastAsia" w:ascii="宋体" w:hAnsi="宋体"/>
              </w:rPr>
              <w:t>。</w:t>
            </w:r>
          </w:p>
        </w:tc>
      </w:tr>
    </w:tbl>
    <w:p>
      <w:pPr>
        <w:tabs>
          <w:tab w:val="left" w:pos="8070"/>
          <w:tab w:val="right" w:pos="8306"/>
        </w:tabs>
        <w:autoSpaceDE w:val="0"/>
        <w:autoSpaceDN w:val="0"/>
        <w:adjustRightInd w:val="0"/>
        <w:snapToGrid w:val="0"/>
        <w:spacing w:line="280" w:lineRule="exact"/>
        <w:rPr>
          <w:rFonts w:ascii="宋体" w:hAnsi="宋体" w:cs="仿宋_GB2312"/>
          <w:b/>
          <w:kern w:val="0"/>
          <w:sz w:val="18"/>
          <w:szCs w:val="18"/>
        </w:rPr>
      </w:pP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ascii="宋体" w:hAnsi="宋体" w:cs="仿宋_GB2312"/>
          <w:b/>
          <w:kern w:val="0"/>
          <w:sz w:val="18"/>
          <w:szCs w:val="18"/>
        </w:rPr>
        <w:br w:type="page"/>
      </w: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甲方(即“投资者”)自愿从乙方</w:t>
      </w:r>
      <w:r>
        <w:rPr>
          <w:rFonts w:ascii="宋体" w:hAnsi="宋体" w:cs="仿宋_GB2312"/>
          <w:kern w:val="0"/>
          <w:sz w:val="18"/>
          <w:szCs w:val="18"/>
        </w:rPr>
        <w:t>（</w:t>
      </w:r>
      <w:r>
        <w:rPr>
          <w:rFonts w:hint="eastAsia" w:ascii="宋体" w:hAnsi="宋体" w:cs="仿宋_GB2312"/>
          <w:kern w:val="0"/>
          <w:sz w:val="18"/>
          <w:szCs w:val="18"/>
        </w:rPr>
        <w:t>即“</w:t>
      </w:r>
      <w:r>
        <w:rPr>
          <w:rFonts w:ascii="宋体" w:hAnsi="宋体" w:cs="仿宋_GB2312"/>
          <w:kern w:val="0"/>
          <w:sz w:val="18"/>
          <w:szCs w:val="18"/>
        </w:rPr>
        <w:t>销售机构</w:t>
      </w:r>
      <w:r>
        <w:rPr>
          <w:rFonts w:hint="eastAsia" w:ascii="宋体" w:hAnsi="宋体" w:cs="仿宋_GB2312"/>
          <w:kern w:val="0"/>
          <w:sz w:val="18"/>
          <w:szCs w:val="18"/>
        </w:rPr>
        <w:t>”</w:t>
      </w:r>
      <w:r>
        <w:rPr>
          <w:rFonts w:ascii="宋体" w:hAnsi="宋体" w:cs="仿宋_GB2312"/>
          <w:kern w:val="0"/>
          <w:sz w:val="18"/>
          <w:szCs w:val="18"/>
        </w:rPr>
        <w:t>）</w:t>
      </w:r>
      <w:r>
        <w:rPr>
          <w:rFonts w:hint="eastAsia" w:ascii="宋体" w:hAnsi="宋体" w:cs="仿宋_GB2312"/>
          <w:kern w:val="0"/>
          <w:sz w:val="18"/>
          <w:szCs w:val="18"/>
        </w:rPr>
        <w:t>购买兴银理财</w:t>
      </w:r>
      <w:r>
        <w:rPr>
          <w:rFonts w:ascii="宋体" w:hAnsi="宋体" w:cs="仿宋_GB2312"/>
          <w:kern w:val="0"/>
          <w:sz w:val="18"/>
          <w:szCs w:val="18"/>
        </w:rPr>
        <w:t>有限责任公司</w:t>
      </w:r>
      <w:r>
        <w:rPr>
          <w:rFonts w:hint="eastAsia" w:ascii="宋体" w:hAnsi="宋体" w:cs="仿宋_GB2312"/>
          <w:kern w:val="0"/>
          <w:sz w:val="18"/>
          <w:szCs w:val="18"/>
        </w:rPr>
        <w:t>（即</w:t>
      </w:r>
      <w:r>
        <w:rPr>
          <w:rFonts w:ascii="宋体" w:hAnsi="宋体" w:cs="仿宋_GB2312"/>
          <w:kern w:val="0"/>
          <w:sz w:val="18"/>
          <w:szCs w:val="18"/>
        </w:rPr>
        <w:t>“</w:t>
      </w:r>
      <w:r>
        <w:rPr>
          <w:rFonts w:hint="eastAsia" w:ascii="宋体" w:hAnsi="宋体" w:cs="仿宋_GB2312"/>
          <w:kern w:val="0"/>
          <w:sz w:val="18"/>
          <w:szCs w:val="18"/>
        </w:rPr>
        <w:t>产品</w:t>
      </w:r>
      <w:r>
        <w:rPr>
          <w:rFonts w:ascii="宋体" w:hAnsi="宋体" w:cs="仿宋_GB2312"/>
          <w:kern w:val="0"/>
          <w:sz w:val="18"/>
          <w:szCs w:val="18"/>
        </w:rPr>
        <w:t>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甲乙双方经友好协商，本着平等自愿、诚实信用的原则，达成协议如下：</w:t>
      </w:r>
    </w:p>
    <w:p>
      <w:pPr>
        <w:tabs>
          <w:tab w:val="left" w:pos="8070"/>
          <w:tab w:val="right" w:pos="8306"/>
        </w:tabs>
        <w:autoSpaceDE w:val="0"/>
        <w:autoSpaceDN w:val="0"/>
        <w:adjustRightInd w:val="0"/>
        <w:snapToGrid w:val="0"/>
        <w:spacing w:line="360" w:lineRule="auto"/>
        <w:ind w:firstLine="361" w:firstLineChars="200"/>
        <w:rPr>
          <w:rFonts w:ascii="宋体" w:hAnsi="宋体" w:cs="仿宋_GB2312"/>
          <w:b/>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第一条 重要提示</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w:t>
      </w:r>
      <w:r>
        <w:rPr>
          <w:rFonts w:ascii="宋体" w:hAnsi="宋体" w:cs="仿宋_GB2312"/>
          <w:kern w:val="0"/>
          <w:sz w:val="18"/>
          <w:szCs w:val="18"/>
        </w:rPr>
        <w:t>乙方销售性质</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xml:space="preserve">□ </w:t>
      </w:r>
      <w:r>
        <w:rPr>
          <w:rFonts w:hint="eastAsia" w:ascii="宋体" w:hAnsi="宋体" w:cs="仿宋_GB2312"/>
          <w:kern w:val="0"/>
          <w:sz w:val="18"/>
          <w:szCs w:val="18"/>
        </w:rPr>
        <w:t>直销适用</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理财产品为乙方所发行的理财产品，乙方既作为理财产品的销售机构，又是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Theme="majorEastAsia" w:hAnsiTheme="majorEastAsia" w:eastAsiaTheme="majorEastAsia"/>
          <w:bCs/>
          <w:sz w:val="18"/>
          <w:szCs w:val="18"/>
        </w:rPr>
        <w:t>■ 代销适用</w:t>
      </w:r>
      <w:r>
        <w:rPr>
          <w:rFonts w:hint="eastAsia" w:ascii="宋体" w:hAnsi="宋体" w:cs="仿宋_GB2312"/>
          <w:kern w:val="0"/>
          <w:sz w:val="18"/>
          <w:szCs w:val="18"/>
        </w:rPr>
        <w:t>本理财产品非乙方所发行的理财产品，乙方仅作为理财产品的代理销售机构，非理财产品管理人，对理财产品的业绩不承担任何保证和其他经济责任，不承担理财产品的投资、分配和风险管理责任。乙方受理的销售理财产品业务申请，以产品管理人的最终确认结果为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2、本理财产品可能面临信用风险、市场风险、流动性风险等风险因素，具体详见《风险揭示书》。甲方在签署本协议前，应当详细阅读《投资</w:t>
      </w:r>
      <w:r>
        <w:rPr>
          <w:rFonts w:ascii="宋体" w:hAnsi="宋体" w:cs="仿宋_GB2312"/>
          <w:kern w:val="0"/>
          <w:sz w:val="18"/>
          <w:szCs w:val="18"/>
        </w:rPr>
        <w:t>协议书</w:t>
      </w:r>
      <w:r>
        <w:rPr>
          <w:rFonts w:hint="eastAsia" w:ascii="宋体" w:hAnsi="宋体" w:cs="仿宋_GB2312"/>
          <w:kern w:val="0"/>
          <w:sz w:val="18"/>
          <w:szCs w:val="18"/>
        </w:rPr>
        <w:t>》、《产品说明书》、《（代理）销售</w:t>
      </w:r>
      <w:r>
        <w:rPr>
          <w:rFonts w:ascii="宋体" w:hAnsi="宋体" w:cs="仿宋_GB2312"/>
          <w:kern w:val="0"/>
          <w:sz w:val="18"/>
          <w:szCs w:val="18"/>
        </w:rPr>
        <w:t>协议书</w:t>
      </w:r>
      <w:r>
        <w:rPr>
          <w:rFonts w:hint="eastAsia" w:ascii="宋体" w:hAnsi="宋体" w:cs="仿宋_GB2312"/>
          <w:kern w:val="0"/>
          <w:sz w:val="18"/>
          <w:szCs w:val="18"/>
        </w:rPr>
        <w:t>》、《风险揭示书》、《投资者权益须知》等完整</w:t>
      </w:r>
      <w:r>
        <w:rPr>
          <w:rFonts w:ascii="宋体" w:hAnsi="宋体" w:cs="仿宋_GB2312"/>
          <w:kern w:val="0"/>
          <w:sz w:val="18"/>
          <w:szCs w:val="18"/>
        </w:rPr>
        <w:t>的</w:t>
      </w:r>
      <w:r>
        <w:rPr>
          <w:rFonts w:hint="eastAsia" w:ascii="宋体" w:hAnsi="宋体" w:cs="仿宋_GB2312"/>
          <w:kern w:val="0"/>
          <w:sz w:val="18"/>
          <w:szCs w:val="18"/>
        </w:rPr>
        <w:t>理财产品销售文件，并充分了解投资者的全部权利与义务以及理财产品的全部风险。</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w:t>
      </w:r>
      <w:r>
        <w:rPr>
          <w:rFonts w:ascii="宋体" w:hAnsi="宋体"/>
          <w:kern w:val="0"/>
          <w:sz w:val="18"/>
        </w:rPr>
        <w:t>根据</w:t>
      </w:r>
      <w:r>
        <w:rPr>
          <w:rFonts w:hint="eastAsia" w:ascii="宋体" w:hAnsi="宋体"/>
          <w:kern w:val="0"/>
          <w:sz w:val="18"/>
        </w:rPr>
        <w:t>理财产品投资范围、风险收益特点、流动性等不同因素，乙方作为</w:t>
      </w:r>
      <w:r>
        <w:rPr>
          <w:rFonts w:ascii="宋体" w:hAnsi="宋体"/>
          <w:kern w:val="0"/>
          <w:sz w:val="18"/>
        </w:rPr>
        <w:t>销售机构</w:t>
      </w:r>
      <w:r>
        <w:rPr>
          <w:rFonts w:hint="eastAsia" w:ascii="宋体" w:hAnsi="宋体"/>
          <w:kern w:val="0"/>
          <w:sz w:val="18"/>
        </w:rPr>
        <w:t>将理财产品分为【5】个风险等级</w:t>
      </w:r>
      <w:r>
        <w:rPr>
          <w:rFonts w:ascii="宋体" w:hAnsi="宋体"/>
          <w:kern w:val="0"/>
          <w:sz w:val="18"/>
        </w:rPr>
        <w:t>：</w:t>
      </w:r>
      <w:r>
        <w:rPr>
          <w:rFonts w:hint="eastAsia" w:ascii="宋体" w:hAnsi="宋体"/>
          <w:kern w:val="0"/>
          <w:sz w:val="18"/>
        </w:rPr>
        <w:t>【</w:t>
      </w:r>
      <w:r>
        <w:rPr>
          <w:rFonts w:hint="eastAsia" w:ascii="宋体" w:hAnsi="宋体" w:cs="仿宋_GB2312"/>
          <w:kern w:val="0"/>
          <w:sz w:val="18"/>
          <w:szCs w:val="18"/>
          <w:lang w:val="en-US" w:eastAsia="zh-CN"/>
        </w:rPr>
        <w:t>R1（低风险）、R2（中低风险）、R3（中等风险）、R4（中高风险）、R5（高风险）</w:t>
      </w:r>
      <w:r>
        <w:rPr>
          <w:rFonts w:hint="eastAsia" w:ascii="宋体" w:hAnsi="宋体"/>
          <w:kern w:val="0"/>
          <w:sz w:val="18"/>
        </w:rPr>
        <w:t>】；根据投资者在乙方评估的风险承受能力，</w:t>
      </w:r>
      <w:r>
        <w:rPr>
          <w:rFonts w:ascii="宋体" w:hAnsi="宋体"/>
          <w:kern w:val="0"/>
          <w:sz w:val="18"/>
        </w:rPr>
        <w:t>乙方将投资者风险承受能力分为</w:t>
      </w:r>
      <w:r>
        <w:rPr>
          <w:rFonts w:hint="eastAsia" w:ascii="宋体" w:hAnsi="宋体"/>
          <w:kern w:val="0"/>
          <w:sz w:val="18"/>
        </w:rPr>
        <w:t>【5】</w:t>
      </w:r>
      <w:r>
        <w:rPr>
          <w:rFonts w:ascii="宋体" w:hAnsi="宋体"/>
          <w:kern w:val="0"/>
          <w:sz w:val="18"/>
        </w:rPr>
        <w:t>个</w:t>
      </w:r>
      <w:r>
        <w:rPr>
          <w:rFonts w:hint="eastAsia" w:ascii="宋体" w:hAnsi="宋体"/>
          <w:kern w:val="0"/>
          <w:sz w:val="18"/>
        </w:rPr>
        <w:t>等级：【</w:t>
      </w:r>
      <w:r>
        <w:rPr>
          <w:rFonts w:hint="eastAsia" w:ascii="宋体" w:hAnsi="宋体" w:cs="仿宋_GB2312"/>
          <w:kern w:val="0"/>
          <w:sz w:val="18"/>
          <w:szCs w:val="18"/>
          <w:lang w:val="en-US" w:eastAsia="zh-CN"/>
        </w:rPr>
        <w:t>保守型、谨慎型、稳健型、进取型、激进型</w:t>
      </w:r>
      <w:r>
        <w:rPr>
          <w:rFonts w:hint="eastAsia" w:ascii="宋体" w:hAnsi="宋体"/>
          <w:kern w:val="0"/>
          <w:sz w:val="18"/>
        </w:rPr>
        <w:t>】。</w:t>
      </w:r>
    </w:p>
    <w:p>
      <w:pPr>
        <w:widowControl/>
        <w:spacing w:line="360" w:lineRule="auto"/>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理财产品风险等级为产品管理人和销售机构经过审慎评估后确定的产品风险等级。若本产品通过代理销售机构销售的，理财产品评级以代理销售机构最终披露的评级结果为准。产品管理人和代理销售机构对理财产品的风险等级评估结果不一致时，代理</w:t>
      </w:r>
      <w:r>
        <w:rPr>
          <w:rFonts w:asciiTheme="majorEastAsia" w:hAnsiTheme="majorEastAsia" w:eastAsiaTheme="majorEastAsia"/>
          <w:bCs/>
          <w:sz w:val="18"/>
          <w:szCs w:val="18"/>
        </w:rPr>
        <w:t>销售机构</w:t>
      </w:r>
      <w:r>
        <w:rPr>
          <w:rFonts w:hint="eastAsia" w:asciiTheme="majorEastAsia" w:hAnsiTheme="majorEastAsia" w:eastAsiaTheme="majorEastAsia"/>
          <w:bCs/>
          <w:sz w:val="18"/>
          <w:szCs w:val="18"/>
        </w:rPr>
        <w:t>应采用对应较高风险的评级结果。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（2）投资者风险承受能力等级为销售机构对投资者的风险承受能力进行评价的结果。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1）销售机构在销售本产品时，其对投资者风险承受能力等级的划分与表述可能与产品管理人存在差异，即采用销售机构设置的标准。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2）销售机构应以书面的方式向投资者明示其对投资者风险承受能力等级的划分与“适合投资者类型”的表述。</w:t>
      </w:r>
    </w:p>
    <w:p>
      <w:pPr>
        <w:pStyle w:val="43"/>
        <w:spacing w:line="360" w:lineRule="auto"/>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（3）</w:t>
      </w:r>
      <w:r>
        <w:rPr>
          <w:rFonts w:hint="eastAsia" w:hAnsi="宋体" w:cs="仿宋_GB2312"/>
          <w:sz w:val="18"/>
          <w:szCs w:val="18"/>
        </w:rPr>
        <w:t>甲方应根据风险承受能力评估结果选择与其风险承受能力相匹配的风险等级的理财产品，不得购买高于甲方风险承受能力的理财产品。</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4、甲方购买乙方</w:t>
      </w:r>
      <w:r>
        <w:rPr>
          <w:rFonts w:ascii="宋体" w:hAnsi="宋体" w:cs="仿宋_GB2312"/>
          <w:kern w:val="0"/>
          <w:sz w:val="18"/>
          <w:szCs w:val="18"/>
        </w:rPr>
        <w:t>销售</w:t>
      </w:r>
      <w:r>
        <w:rPr>
          <w:rFonts w:hint="eastAsia" w:ascii="宋体" w:hAnsi="宋体" w:cs="仿宋_GB2312"/>
          <w:kern w:val="0"/>
          <w:sz w:val="18"/>
          <w:szCs w:val="18"/>
        </w:rPr>
        <w:t>的理财产品前，需通过乙方的线下</w:t>
      </w:r>
      <w:r>
        <w:rPr>
          <w:rFonts w:ascii="宋体" w:hAnsi="宋体" w:cs="仿宋_GB2312"/>
          <w:kern w:val="0"/>
          <w:sz w:val="18"/>
          <w:szCs w:val="18"/>
        </w:rPr>
        <w:t>渠道或线上渠道</w:t>
      </w:r>
      <w:r>
        <w:rPr>
          <w:rFonts w:hint="eastAsia" w:ascii="宋体" w:hAnsi="宋体" w:cs="仿宋_GB2312"/>
          <w:kern w:val="0"/>
          <w:sz w:val="18"/>
          <w:szCs w:val="18"/>
        </w:rPr>
        <w:t>（网上银行、手机银行或可视柜台等）进行有效风险承受能力的评估。投资者风险承受能力评估结果的有效期为一年，若甲方的风险承受能力评估结果已超过有效期或者在评级结果有效期内发生了可能影响甲方自身风险承受能力的情形，甲方应重新进行风险承受能力评估。</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5、甲方保证投资资金来源合法且为本人有权</w:t>
      </w:r>
      <w:r>
        <w:rPr>
          <w:rFonts w:ascii="宋体" w:hAnsi="宋体" w:cs="仿宋_GB2312"/>
          <w:kern w:val="0"/>
          <w:sz w:val="18"/>
          <w:szCs w:val="18"/>
        </w:rPr>
        <w:t>处分的合法</w:t>
      </w:r>
      <w:r>
        <w:rPr>
          <w:rFonts w:hint="eastAsia" w:ascii="宋体" w:hAnsi="宋体" w:cs="仿宋_GB2312"/>
          <w:kern w:val="0"/>
          <w:sz w:val="18"/>
          <w:szCs w:val="18"/>
        </w:rPr>
        <w:t>资金，不存在使用贷款、发行债券等筹集的非自有资金投资的情况，投资行为符合法律法规及相关监管部门的规定。</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6、甲方承诺所提供的所有资料真实、完整、合法、有效，如有变更，甲方应及时到乙方办理变更手续。若甲方未及时办理相关变更手续，由此导致的一切后果由甲方自行承担，乙方对此不承担任何责任。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7、在产品认购/申购期内，如因甲方原因导致投资本金不能从其账户足额划转的，甲方对相关理财产品的购买不成功，乙方对此不承担责任。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8、甲方对理财产品</w:t>
      </w:r>
      <w:r>
        <w:rPr>
          <w:rFonts w:ascii="宋体" w:hAnsi="宋体" w:cs="仿宋_GB2312"/>
          <w:kern w:val="0"/>
          <w:sz w:val="18"/>
          <w:szCs w:val="18"/>
        </w:rPr>
        <w:t>销售业务资料</w:t>
      </w:r>
      <w:r>
        <w:rPr>
          <w:rFonts w:hint="eastAsia" w:ascii="宋体" w:hAnsi="宋体" w:cs="仿宋_GB2312"/>
          <w:kern w:val="0"/>
          <w:sz w:val="18"/>
          <w:szCs w:val="18"/>
        </w:rPr>
        <w:t>负有保密义务，未经乙方书面许可，甲方不得向任何组织、个人提供或泄露与乙方或</w:t>
      </w:r>
      <w:r>
        <w:rPr>
          <w:rFonts w:ascii="宋体" w:hAnsi="宋体" w:cs="仿宋_GB2312"/>
          <w:kern w:val="0"/>
          <w:sz w:val="18"/>
          <w:szCs w:val="18"/>
        </w:rPr>
        <w:t>产品管理人</w:t>
      </w:r>
      <w:r>
        <w:rPr>
          <w:rFonts w:hint="eastAsia" w:ascii="宋体" w:hAnsi="宋体" w:cs="仿宋_GB2312"/>
          <w:kern w:val="0"/>
          <w:sz w:val="18"/>
          <w:szCs w:val="18"/>
        </w:rPr>
        <w:t>有关的业务资料及信息，但本协议</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9、甲方在此同意并授权乙方有权根据甲方所勾选的业务申请类型对甲方相关资金账户进行资金划扣等相关操作。</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10、对于甲方通过乙方的网上银行、手机银行、可视柜台等线上渠道购买的理财产品（不受限于本理财产品），甲方确认通过乙方线上渠道点击确认同意本协议，即表明甲方已自主阅读并清楚知悉本协议全部内容，同意受本协议约束。</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11、甲方在此确认乙方业务</w:t>
      </w:r>
      <w:r>
        <w:rPr>
          <w:rFonts w:ascii="宋体" w:hAnsi="宋体" w:cs="仿宋_GB2312"/>
          <w:kern w:val="0"/>
          <w:sz w:val="18"/>
          <w:szCs w:val="18"/>
        </w:rPr>
        <w:t>申请和办理</w:t>
      </w:r>
      <w:r>
        <w:rPr>
          <w:rFonts w:hint="eastAsia" w:ascii="宋体" w:hAnsi="宋体" w:cs="仿宋_GB2312"/>
          <w:kern w:val="0"/>
          <w:sz w:val="18"/>
          <w:szCs w:val="18"/>
        </w:rPr>
        <w:t>的系统记录以及录音、录像等</w:t>
      </w:r>
      <w:r>
        <w:rPr>
          <w:rFonts w:ascii="宋体" w:hAnsi="宋体" w:cs="仿宋_GB2312"/>
          <w:kern w:val="0"/>
          <w:sz w:val="18"/>
          <w:szCs w:val="18"/>
        </w:rPr>
        <w:t>信息</w:t>
      </w:r>
      <w:r>
        <w:rPr>
          <w:rFonts w:hint="eastAsia" w:ascii="宋体" w:hAnsi="宋体" w:cs="仿宋_GB2312"/>
          <w:kern w:val="0"/>
          <w:sz w:val="18"/>
          <w:szCs w:val="18"/>
        </w:rPr>
        <w:t>构成对甲方操作行为（包括但不限于认购</w:t>
      </w:r>
      <w:r>
        <w:rPr>
          <w:rFonts w:ascii="宋体" w:hAnsi="宋体" w:cs="仿宋_GB2312"/>
          <w:kern w:val="0"/>
          <w:sz w:val="18"/>
          <w:szCs w:val="18"/>
        </w:rPr>
        <w:t>、申购</w:t>
      </w:r>
      <w:r>
        <w:rPr>
          <w:rFonts w:hint="eastAsia" w:ascii="宋体" w:hAnsi="宋体" w:cs="仿宋_GB2312"/>
          <w:kern w:val="0"/>
          <w:sz w:val="18"/>
          <w:szCs w:val="18"/>
        </w:rPr>
        <w:t>、赎回）的终局证据，甲方同意乙方上述记录行为，并且在甲方和乙方或产品</w:t>
      </w:r>
      <w:r>
        <w:rPr>
          <w:rFonts w:ascii="宋体" w:hAnsi="宋体" w:cs="仿宋_GB2312"/>
          <w:kern w:val="0"/>
          <w:sz w:val="18"/>
          <w:szCs w:val="18"/>
        </w:rPr>
        <w:t>管理人</w:t>
      </w:r>
      <w:r>
        <w:rPr>
          <w:rFonts w:hint="eastAsia" w:ascii="宋体" w:hAnsi="宋体" w:cs="仿宋_GB2312"/>
          <w:kern w:val="0"/>
          <w:sz w:val="18"/>
          <w:szCs w:val="18"/>
        </w:rPr>
        <w:t>发生争议时可以作为合法有效的证据使用。</w:t>
      </w:r>
      <w:r>
        <w:rPr>
          <w:rFonts w:hint="eastAsia" w:ascii="黑体" w:hAnsi="黑体" w:eastAsia="黑体" w:cs="仿宋_GB2312"/>
          <w:kern w:val="0"/>
          <w:sz w:val="18"/>
          <w:szCs w:val="18"/>
        </w:rPr>
        <w:t>甲方同意并授权乙方采取有效措施和技术手段记录营销推介、产品风险和关键信息提示、投资者确认和反馈等重点销售环节。</w:t>
      </w:r>
    </w:p>
    <w:p>
      <w:pPr>
        <w:widowControl/>
        <w:spacing w:line="360" w:lineRule="auto"/>
        <w:jc w:val="left"/>
        <w:rPr>
          <w:rFonts w:ascii="宋体" w:hAnsi="宋体" w:cs="仿宋_GB2312"/>
          <w:kern w:val="0"/>
          <w:sz w:val="18"/>
          <w:szCs w:val="18"/>
        </w:rPr>
      </w:pPr>
      <w:r>
        <w:rPr>
          <w:rFonts w:ascii="宋体" w:hAnsi="宋体" w:cs="仿宋_GB2312"/>
          <w:kern w:val="0"/>
          <w:sz w:val="18"/>
          <w:szCs w:val="18"/>
        </w:rPr>
        <w:t>12</w:t>
      </w:r>
      <w:r>
        <w:rPr>
          <w:rFonts w:hint="eastAsia" w:ascii="宋体" w:hAnsi="宋体" w:cs="仿宋_GB2312"/>
          <w:kern w:val="0"/>
          <w:sz w:val="18"/>
          <w:szCs w:val="18"/>
        </w:rPr>
        <w:t>、甲方同意并授权乙方有权根据甲方所勾选的业务申请类型，并根据业务办理需要、反洗钱工作以及非居民金融账户涉税信息尽职调查等需要，收集调取投资者开户留存的有效身份证件或者其他身份证明文件信息、交易记录、数据信息、金融账户和其他资料，同时可向产品管理人、产品托管人、监管机构、自律组织、理财登记备案机构、金融交易对手方、理财快速赎回服务提供方提供、留存前述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甲方签署本理财产品销售文件即视为已经同意乙方在前述范围内向相关方提供投资者信息。</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3</w:t>
      </w:r>
      <w:r>
        <w:rPr>
          <w:rFonts w:hint="eastAsia" w:ascii="宋体" w:hAnsi="宋体" w:cs="仿宋_GB2312"/>
          <w:kern w:val="0"/>
          <w:sz w:val="18"/>
          <w:szCs w:val="18"/>
        </w:rPr>
        <w:t>、乙方对理财产品代理</w:t>
      </w:r>
      <w:r>
        <w:rPr>
          <w:rFonts w:ascii="宋体" w:hAnsi="宋体" w:cs="仿宋_GB2312"/>
          <w:kern w:val="0"/>
          <w:sz w:val="18"/>
          <w:szCs w:val="18"/>
        </w:rPr>
        <w:t>销售业务资料</w:t>
      </w:r>
      <w:r>
        <w:rPr>
          <w:rFonts w:hint="eastAsia" w:ascii="宋体" w:hAnsi="宋体" w:cs="仿宋_GB2312"/>
          <w:kern w:val="0"/>
          <w:sz w:val="18"/>
          <w:szCs w:val="18"/>
        </w:rPr>
        <w:t>负有保密义务，未经甲方书面许可，乙方不得向任何组织、个人提供或泄露与甲方有关的业务资料及信息，但理财产品销售文件</w:t>
      </w:r>
      <w:r>
        <w:rPr>
          <w:rFonts w:ascii="宋体" w:hAnsi="宋体" w:cs="仿宋_GB2312"/>
          <w:kern w:val="0"/>
          <w:sz w:val="18"/>
          <w:szCs w:val="18"/>
        </w:rPr>
        <w:t>及</w:t>
      </w:r>
      <w:r>
        <w:rPr>
          <w:rFonts w:hint="eastAsia" w:ascii="宋体" w:hAnsi="宋体" w:cs="仿宋_GB2312"/>
          <w:kern w:val="0"/>
          <w:sz w:val="18"/>
          <w:szCs w:val="18"/>
        </w:rPr>
        <w:t>法律法规另有规定的除外。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w:t>
      </w:r>
      <w:r>
        <w:rPr>
          <w:rFonts w:ascii="宋体" w:hAnsi="宋体" w:cs="仿宋_GB2312"/>
          <w:kern w:val="0"/>
          <w:sz w:val="18"/>
          <w:szCs w:val="18"/>
        </w:rPr>
        <w:t>4</w:t>
      </w:r>
      <w:r>
        <w:rPr>
          <w:rFonts w:hint="eastAsia" w:ascii="宋体" w:hAnsi="宋体" w:cs="仿宋_GB2312"/>
          <w:kern w:val="0"/>
          <w:sz w:val="18"/>
          <w:szCs w:val="18"/>
        </w:rPr>
        <w:t>、甲方承诺严格遵守反洗钱相关法律法规和规章制度，不参与或协助洗钱、恐怖融资、逃税活动等违法行为。乙方发现或有合理理由怀疑甲方、甲方资金或甲方交易行为涉嫌洗钱、恐怖融资、逃税等犯罪活动相关的，乙方有权提前终止本协议，造成甲方损失的，乙方不承担责任。</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第二条 免责条款</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1、由于国家有关法律、法规、规章、政策的改变、紧急措施的出台而导致甲方蒙受损失或协议终止的，乙方不承担责任。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2、由于不可抗力或乙方无过错且无法防止的外因而导致的交易中断、延误等风险及损失，乙方不承担责任。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3、非因乙方原因（包括但不限于甲方遗失本协议、协议被盗用、交易账户被司法机关等有权部门冻结、扣划等原因）造成的损失，乙方不承担责任。</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发生前述情形时，乙方将在条件允许的情况下采取必要合理的补救措施，尽力保护甲方利益，以减少甲方损失。</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第三条 争议处理</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1、本协议在履行过程中发生的争议，由甲乙双方协商解决，协商不成的，任何一方可向乙方</w:t>
      </w:r>
      <w:r>
        <w:rPr>
          <w:rFonts w:ascii="宋体" w:hAnsi="宋体" w:cs="仿宋_GB2312"/>
          <w:kern w:val="0"/>
          <w:sz w:val="18"/>
          <w:szCs w:val="18"/>
        </w:rPr>
        <w:t>住所地</w:t>
      </w:r>
      <w:r>
        <w:rPr>
          <w:rFonts w:hint="eastAsia" w:ascii="宋体" w:hAnsi="宋体" w:cs="仿宋_GB2312"/>
          <w:kern w:val="0"/>
          <w:sz w:val="18"/>
          <w:szCs w:val="18"/>
        </w:rPr>
        <w:t>人民法院起诉。</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2、在诉讼期间，本协议不涉及争议部分的条款仍须履行。</w:t>
      </w:r>
    </w:p>
    <w:p>
      <w:pPr>
        <w:widowControl/>
        <w:spacing w:line="360" w:lineRule="auto"/>
        <w:jc w:val="left"/>
        <w:rPr>
          <w:rFonts w:ascii="宋体" w:hAnsi="宋体" w:cs="仿宋_GB2312"/>
          <w:kern w:val="0"/>
          <w:sz w:val="18"/>
          <w:szCs w:val="18"/>
        </w:rPr>
      </w:pPr>
    </w:p>
    <w:p>
      <w:pPr>
        <w:widowControl/>
        <w:spacing w:line="360" w:lineRule="auto"/>
        <w:jc w:val="center"/>
        <w:rPr>
          <w:rFonts w:ascii="宋体" w:hAnsi="宋体" w:cs="仿宋_GB2312"/>
          <w:b/>
          <w:kern w:val="0"/>
          <w:sz w:val="18"/>
          <w:szCs w:val="18"/>
        </w:rPr>
      </w:pPr>
      <w:r>
        <w:rPr>
          <w:rFonts w:hint="eastAsia" w:ascii="宋体" w:hAnsi="宋体" w:cs="仿宋_GB2312"/>
          <w:b/>
          <w:kern w:val="0"/>
          <w:sz w:val="18"/>
          <w:szCs w:val="18"/>
        </w:rPr>
        <w:t>第四条 协议的生效和终止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1、协议生效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甲方通过乙方线下渠道购买理财产品的，本协议经甲方签字且乙方盖柜面业务章后生效（为避免歧义，乙方相关业务人员在本协议的签字仅为乙方内部风险控制要求，并不作为协议成立的条件，下同）。</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甲方通过乙方线上</w:t>
      </w:r>
      <w:r>
        <w:rPr>
          <w:rFonts w:ascii="宋体" w:hAnsi="宋体" w:cs="仿宋_GB2312"/>
          <w:kern w:val="0"/>
          <w:sz w:val="18"/>
          <w:szCs w:val="18"/>
        </w:rPr>
        <w:t>渠道</w:t>
      </w:r>
      <w:r>
        <w:rPr>
          <w:rFonts w:hint="eastAsia" w:ascii="宋体" w:hAnsi="宋体" w:cs="仿宋_GB2312"/>
          <w:kern w:val="0"/>
          <w:sz w:val="18"/>
          <w:szCs w:val="18"/>
        </w:rPr>
        <w:t>（网上银行、手机银行、可视柜台等）购买理财产品的，甲方点击确认同意本协议后生效。</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2、协议终止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本协议及《投资</w:t>
      </w:r>
      <w:r>
        <w:rPr>
          <w:rFonts w:ascii="宋体" w:hAnsi="宋体" w:cs="仿宋_GB2312"/>
          <w:kern w:val="0"/>
          <w:sz w:val="18"/>
          <w:szCs w:val="18"/>
        </w:rPr>
        <w:t>协议书</w:t>
      </w:r>
      <w:r>
        <w:rPr>
          <w:rFonts w:hint="eastAsia" w:ascii="宋体" w:hAnsi="宋体" w:cs="仿宋_GB2312"/>
          <w:kern w:val="0"/>
          <w:sz w:val="18"/>
          <w:szCs w:val="18"/>
        </w:rPr>
        <w:t>》、《产品说明书》、《风险揭示书》、《投资者权益须知》项下各方权利义务履行完毕之日，本协议自动终止。</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3、其他</w:t>
      </w:r>
    </w:p>
    <w:p>
      <w:pPr>
        <w:widowControl/>
        <w:spacing w:line="360" w:lineRule="auto"/>
        <w:jc w:val="left"/>
        <w:rPr>
          <w:rFonts w:ascii="宋体" w:hAnsi="宋体" w:cs="仿宋_GB2312"/>
          <w:kern w:val="0"/>
          <w:sz w:val="18"/>
          <w:szCs w:val="18"/>
        </w:rPr>
      </w:pPr>
      <w:r>
        <w:rPr>
          <w:rFonts w:hint="eastAsia" w:ascii="宋体" w:hAnsi="宋体" w:cs="仿宋_GB2312"/>
          <w:kern w:val="0"/>
          <w:sz w:val="18"/>
          <w:szCs w:val="18"/>
        </w:rPr>
        <w:t>甲方通过乙方的线下渠道购买本产品时，本协议一式叁份，销售机构、投资者及产品管理人各执一份，且具有同等法律效力。</w:t>
      </w:r>
    </w:p>
    <w:p>
      <w:pPr>
        <w:widowControl/>
        <w:spacing w:line="360" w:lineRule="auto"/>
        <w:jc w:val="left"/>
        <w:rPr>
          <w:rFonts w:ascii="宋体" w:hAnsi="宋体" w:cs="仿宋_GB2312"/>
          <w:kern w:val="0"/>
          <w:sz w:val="18"/>
          <w:szCs w:val="18"/>
        </w:rPr>
      </w:pP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甲方声明：</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1)甲方已经收到所购买</w:t>
      </w:r>
      <w:r>
        <w:rPr>
          <w:rFonts w:hint="eastAsia" w:ascii="宋体" w:hAnsi="宋体" w:cs="仿宋_GB2312"/>
          <w:b/>
          <w:kern w:val="0"/>
          <w:sz w:val="18"/>
          <w:szCs w:val="18"/>
        </w:rPr>
        <w:t>乙方销售的理财产品的《投资</w:t>
      </w:r>
      <w:r>
        <w:rPr>
          <w:rFonts w:ascii="宋体" w:hAnsi="宋体" w:cs="仿宋_GB2312"/>
          <w:b/>
          <w:kern w:val="0"/>
          <w:sz w:val="18"/>
          <w:szCs w:val="18"/>
        </w:rPr>
        <w:t>协议书</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产品说明书</w:t>
      </w:r>
      <w:r>
        <w:rPr>
          <w:rFonts w:ascii="宋体" w:hAnsi="宋体" w:cs="仿宋_GB2312"/>
          <w:b/>
          <w:kern w:val="0"/>
          <w:sz w:val="18"/>
          <w:szCs w:val="18"/>
        </w:rPr>
        <w:t>》</w:t>
      </w:r>
      <w:r>
        <w:rPr>
          <w:rFonts w:hint="eastAsia" w:ascii="宋体" w:hAnsi="宋体" w:cs="仿宋_GB2312"/>
          <w:b/>
          <w:kern w:val="0"/>
          <w:sz w:val="18"/>
          <w:szCs w:val="18"/>
        </w:rPr>
        <w:t>、</w:t>
      </w:r>
      <w:r>
        <w:rPr>
          <w:rFonts w:ascii="宋体" w:hAnsi="宋体" w:cs="仿宋_GB2312"/>
          <w:b/>
          <w:kern w:val="0"/>
          <w:sz w:val="18"/>
          <w:szCs w:val="18"/>
        </w:rPr>
        <w:t>《</w:t>
      </w:r>
      <w:r>
        <w:rPr>
          <w:rFonts w:hint="eastAsia" w:ascii="宋体" w:hAnsi="宋体" w:cs="仿宋_GB2312"/>
          <w:b/>
          <w:kern w:val="0"/>
          <w:sz w:val="18"/>
          <w:szCs w:val="18"/>
        </w:rPr>
        <w:t>（代理）销售协议书</w:t>
      </w:r>
      <w:r>
        <w:rPr>
          <w:rFonts w:ascii="宋体" w:hAnsi="宋体" w:cs="仿宋_GB2312"/>
          <w:b/>
          <w:kern w:val="0"/>
          <w:sz w:val="18"/>
          <w:szCs w:val="18"/>
        </w:rPr>
        <w:t>》</w:t>
      </w:r>
      <w:r>
        <w:rPr>
          <w:rFonts w:hint="eastAsia" w:ascii="宋体" w:hAnsi="宋体" w:cs="仿宋_GB2312"/>
          <w:b/>
          <w:kern w:val="0"/>
          <w:sz w:val="18"/>
          <w:szCs w:val="18"/>
        </w:rPr>
        <w:t>、《风险揭示书》、《投资者权益须知》等，并完全理解和接受上述文件的全部内容，清楚了解所购买理财产品的内容及可能出现的风险。甲方的投资决策完全基于甲方的独立自主判断做出，并自愿承担所认购</w:t>
      </w:r>
      <w:r>
        <w:rPr>
          <w:rFonts w:ascii="宋体" w:hAnsi="宋体" w:cs="仿宋_GB2312"/>
          <w:b/>
          <w:kern w:val="0"/>
          <w:sz w:val="18"/>
          <w:szCs w:val="18"/>
        </w:rPr>
        <w:t>、申购</w:t>
      </w:r>
      <w:r>
        <w:rPr>
          <w:rFonts w:hint="eastAsia" w:ascii="宋体" w:hAnsi="宋体" w:cs="仿宋_GB2312"/>
          <w:b/>
          <w:kern w:val="0"/>
          <w:sz w:val="18"/>
          <w:szCs w:val="18"/>
        </w:rPr>
        <w:t>、赎回理财产品所产生的相关风险和不利后果。</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w:t>
      </w:r>
      <w:r>
        <w:rPr>
          <w:rFonts w:ascii="宋体" w:hAnsi="宋体" w:cs="仿宋_GB2312"/>
          <w:b/>
          <w:kern w:val="0"/>
          <w:sz w:val="18"/>
          <w:szCs w:val="18"/>
        </w:rPr>
        <w:t>2)甲方确认乙方相关业务人员对于本协议中有关增加甲方义务、限制甲方权利以及免除、限制乙方责任和乙方单方面拥有某些权利的条款已向甲方予以解释说明，甲方自愿接受上述条款的约束，双方对本协议条款的理解已完全达成一致。</w:t>
      </w:r>
    </w:p>
    <w:p>
      <w:pPr>
        <w:widowControl/>
        <w:spacing w:line="360" w:lineRule="auto"/>
        <w:jc w:val="left"/>
        <w:rPr>
          <w:rFonts w:ascii="宋体" w:hAnsi="宋体" w:cs="仿宋_GB2312"/>
          <w:b/>
          <w:kern w:val="0"/>
          <w:sz w:val="18"/>
          <w:szCs w:val="18"/>
        </w:rPr>
      </w:pPr>
      <w:r>
        <w:rPr>
          <w:rFonts w:hint="eastAsia" w:ascii="宋体" w:hAnsi="宋体" w:cs="仿宋_GB2312"/>
          <w:b/>
          <w:kern w:val="0"/>
          <w:sz w:val="18"/>
          <w:szCs w:val="18"/>
        </w:rPr>
        <w:t>（3）甲方确认乙方相关业务人员不存在代替甲方签署销售业务相关文件，或代替甲方进行风险承受能力评估、理财产品购买等操作，不存在代替甲方持有或安排他人代替甲方持有理财产品的情况。</w:t>
      </w:r>
    </w:p>
    <w:p>
      <w:pPr>
        <w:widowControl/>
        <w:spacing w:line="360" w:lineRule="auto"/>
        <w:jc w:val="left"/>
        <w:rPr>
          <w:rFonts w:ascii="宋体" w:hAnsi="宋体" w:cs="仿宋_GB2312"/>
          <w:b/>
          <w:kern w:val="0"/>
          <w:sz w:val="18"/>
          <w:szCs w:val="18"/>
        </w:rPr>
      </w:pPr>
    </w:p>
    <w:p>
      <w:pPr>
        <w:widowControl/>
        <w:jc w:val="left"/>
        <w:rPr>
          <w:rFonts w:ascii="宋体" w:hAnsi="宋体" w:cs="仿宋_GB2312"/>
          <w:b/>
          <w:kern w:val="0"/>
          <w:sz w:val="18"/>
          <w:szCs w:val="18"/>
        </w:rPr>
      </w:pPr>
      <w:r>
        <w:rPr>
          <w:rFonts w:ascii="宋体" w:hAnsi="宋体" w:cs="仿宋_GB2312"/>
          <w:b/>
          <w:kern w:val="0"/>
          <w:sz w:val="18"/>
          <w:szCs w:val="18"/>
        </w:rPr>
        <w:br w:type="page"/>
      </w:r>
    </w:p>
    <w:p>
      <w:pPr>
        <w:autoSpaceDE w:val="0"/>
        <w:autoSpaceDN w:val="0"/>
        <w:adjustRightInd w:val="0"/>
        <w:snapToGrid w:val="0"/>
        <w:spacing w:line="280" w:lineRule="atLeast"/>
        <w:ind w:firstLine="360" w:firstLineChars="200"/>
        <w:rPr>
          <w:rFonts w:ascii="黑体" w:hAnsi="黑体" w:eastAsia="黑体" w:cs="仿宋_GB2312"/>
          <w:kern w:val="0"/>
          <w:sz w:val="18"/>
          <w:szCs w:val="18"/>
        </w:rPr>
      </w:pPr>
    </w:p>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851"/>
        <w:gridCol w:w="699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3"/>
            <w:vAlign w:val="center"/>
          </w:tcPr>
          <w:p>
            <w:pPr>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280" w:lineRule="exact"/>
              <w:jc w:val="center"/>
              <w:rPr>
                <w:rFonts w:ascii="黑体" w:hAnsi="黑体" w:eastAsia="黑体"/>
                <w:kern w:val="0"/>
                <w:sz w:val="18"/>
                <w:szCs w:val="18"/>
              </w:rPr>
            </w:pPr>
            <w:r>
              <w:rPr>
                <w:rFonts w:hint="eastAsia" w:ascii="黑体" w:hAnsi="黑体" w:eastAsia="黑体"/>
                <w:kern w:val="0"/>
                <w:sz w:val="18"/>
                <w:szCs w:val="18"/>
              </w:rPr>
              <w:t>★</w:t>
            </w:r>
          </w:p>
          <w:p>
            <w:pPr>
              <w:tabs>
                <w:tab w:val="left" w:pos="8070"/>
                <w:tab w:val="right" w:pos="8306"/>
              </w:tabs>
              <w:autoSpaceDE w:val="0"/>
              <w:autoSpaceDN w:val="0"/>
              <w:adjustRightInd w:val="0"/>
              <w:snapToGrid w:val="0"/>
              <w:spacing w:line="280" w:lineRule="exact"/>
              <w:jc w:val="center"/>
              <w:rPr>
                <w:rFonts w:ascii="宋体" w:hAnsi="宋体"/>
                <w:b/>
                <w:kern w:val="0"/>
                <w:sz w:val="18"/>
                <w:szCs w:val="18"/>
              </w:rPr>
            </w:pPr>
            <w:r>
              <w:rPr>
                <w:rFonts w:hint="eastAsia" w:ascii="宋体" w:hAnsi="宋体"/>
                <w:b/>
                <w:kern w:val="0"/>
                <w:sz w:val="18"/>
                <w:szCs w:val="18"/>
              </w:rPr>
              <w:t>签署声明</w:t>
            </w:r>
          </w:p>
        </w:tc>
        <w:tc>
          <w:tcPr>
            <w:tcW w:w="7849" w:type="dxa"/>
            <w:gridSpan w:val="2"/>
          </w:tcPr>
          <w:p>
            <w:pPr>
              <w:tabs>
                <w:tab w:val="left" w:pos="8070"/>
                <w:tab w:val="right" w:pos="8306"/>
              </w:tabs>
              <w:autoSpaceDE w:val="0"/>
              <w:autoSpaceDN w:val="0"/>
              <w:adjustRightInd w:val="0"/>
              <w:snapToGrid w:val="0"/>
              <w:spacing w:line="280" w:lineRule="exact"/>
              <w:rPr>
                <w:rFonts w:ascii="黑体" w:hAnsi="黑体" w:eastAsia="黑体"/>
                <w:kern w:val="0"/>
                <w:sz w:val="18"/>
                <w:szCs w:val="18"/>
              </w:rPr>
            </w:pPr>
            <w:r>
              <w:rPr>
                <w:rFonts w:ascii="黑体" w:hAnsi="黑体" w:eastAsia="黑体"/>
                <w:kern w:val="0"/>
                <w:sz w:val="18"/>
                <w:szCs w:val="18"/>
              </w:rPr>
              <w:t>1、在签署本《</w:t>
            </w:r>
            <w:r>
              <w:rPr>
                <w:rFonts w:hint="eastAsia" w:ascii="黑体" w:hAnsi="黑体" w:eastAsia="黑体"/>
                <w:kern w:val="0"/>
                <w:sz w:val="18"/>
                <w:szCs w:val="18"/>
              </w:rPr>
              <w:t>（代理）</w:t>
            </w:r>
            <w:r>
              <w:rPr>
                <w:rFonts w:ascii="黑体" w:hAnsi="黑体" w:eastAsia="黑体"/>
                <w:kern w:val="0"/>
                <w:sz w:val="18"/>
                <w:szCs w:val="18"/>
              </w:rPr>
              <w:t>销售协议书》以前，甲方已认真阅读理财产品销售文件（包括但不限于《</w:t>
            </w:r>
            <w:r>
              <w:rPr>
                <w:rFonts w:hint="eastAsia" w:ascii="黑体" w:hAnsi="黑体" w:eastAsia="黑体"/>
                <w:kern w:val="0"/>
                <w:sz w:val="18"/>
                <w:szCs w:val="18"/>
              </w:rPr>
              <w:t>投资</w:t>
            </w:r>
            <w:r>
              <w:rPr>
                <w:rFonts w:ascii="黑体" w:hAnsi="黑体" w:eastAsia="黑体"/>
                <w:kern w:val="0"/>
                <w:sz w:val="18"/>
                <w:szCs w:val="18"/>
              </w:rPr>
              <w:t>协议书》、《产品说明书》、</w:t>
            </w:r>
            <w:r>
              <w:rPr>
                <w:rFonts w:hint="eastAsia" w:ascii="黑体" w:hAnsi="黑体" w:eastAsia="黑体"/>
                <w:kern w:val="0"/>
                <w:sz w:val="18"/>
                <w:szCs w:val="18"/>
              </w:rPr>
              <w:t>《（代理）销售</w:t>
            </w:r>
            <w:r>
              <w:rPr>
                <w:rFonts w:ascii="黑体" w:hAnsi="黑体" w:eastAsia="黑体"/>
                <w:kern w:val="0"/>
                <w:sz w:val="18"/>
                <w:szCs w:val="18"/>
              </w:rPr>
              <w:t>协议书</w:t>
            </w:r>
            <w:r>
              <w:rPr>
                <w:rFonts w:hint="eastAsia" w:ascii="黑体" w:hAnsi="黑体" w:eastAsia="黑体"/>
                <w:kern w:val="0"/>
                <w:sz w:val="18"/>
                <w:szCs w:val="18"/>
              </w:rPr>
              <w:t>》、</w:t>
            </w:r>
            <w:r>
              <w:rPr>
                <w:rFonts w:ascii="黑体" w:hAnsi="黑体" w:eastAsia="黑体"/>
                <w:kern w:val="0"/>
                <w:sz w:val="18"/>
                <w:szCs w:val="18"/>
              </w:rPr>
              <w:t>《风险揭示书》、《投资者权益须知》等文件）的全部内容，</w:t>
            </w:r>
            <w:r>
              <w:rPr>
                <w:rFonts w:hint="eastAsia" w:ascii="黑体" w:hAnsi="黑体" w:eastAsia="黑体"/>
                <w:kern w:val="0"/>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乙方已提醒甲方注意对本协议各条款，特别是黑体字条款作全面、准确的理解，并应甲方要求做了相应条款的说明，甲方认同并接受本协议全部条款，对有关条款不存在任何疑问或异议，并对协议双方的权利、义务、责任与风险有清楚和准确的理解，甲方做出的任何决策均出于自身独立的判断，是甲方真实的意思表示。</w:t>
            </w:r>
          </w:p>
          <w:p>
            <w:pPr>
              <w:tabs>
                <w:tab w:val="left" w:pos="0"/>
                <w:tab w:val="left" w:pos="3600"/>
              </w:tabs>
              <w:jc w:val="left"/>
              <w:rPr>
                <w:rFonts w:ascii="黑体" w:hAnsi="黑体" w:eastAsia="黑体"/>
                <w:kern w:val="0"/>
                <w:sz w:val="18"/>
                <w:szCs w:val="18"/>
              </w:rPr>
            </w:pPr>
            <w:r>
              <w:rPr>
                <w:rFonts w:ascii="黑体" w:hAnsi="黑体" w:eastAsia="黑体"/>
                <w:kern w:val="0"/>
                <w:sz w:val="18"/>
                <w:szCs w:val="18"/>
              </w:rPr>
              <w:t>2</w:t>
            </w:r>
            <w:r>
              <w:rPr>
                <w:rFonts w:hint="eastAsia" w:ascii="黑体" w:hAnsi="黑体" w:eastAsia="黑体"/>
                <w:kern w:val="0"/>
                <w:sz w:val="18"/>
                <w:szCs w:val="18"/>
              </w:rPr>
              <w:t>、甲方</w:t>
            </w:r>
            <w:r>
              <w:rPr>
                <w:rFonts w:ascii="黑体" w:hAnsi="黑体" w:eastAsia="黑体"/>
                <w:kern w:val="0"/>
                <w:sz w:val="18"/>
                <w:szCs w:val="18"/>
              </w:rPr>
              <w:t>已认真阅读并充分理解包括但不限于《</w:t>
            </w:r>
            <w:r>
              <w:rPr>
                <w:rFonts w:hint="eastAsia" w:ascii="黑体" w:hAnsi="黑体" w:eastAsia="黑体"/>
                <w:kern w:val="0"/>
                <w:sz w:val="18"/>
                <w:szCs w:val="18"/>
              </w:rPr>
              <w:t>（代理）</w:t>
            </w:r>
            <w:r>
              <w:rPr>
                <w:rFonts w:ascii="黑体" w:hAnsi="黑体" w:eastAsia="黑体"/>
                <w:kern w:val="0"/>
                <w:sz w:val="18"/>
                <w:szCs w:val="18"/>
              </w:rPr>
              <w:t>销售协议书》</w:t>
            </w:r>
            <w:r>
              <w:rPr>
                <w:rFonts w:hint="eastAsia" w:ascii="黑体" w:hAnsi="黑体" w:eastAsia="黑体"/>
                <w:kern w:val="0"/>
                <w:sz w:val="18"/>
                <w:szCs w:val="18"/>
              </w:rPr>
              <w:t>等全套理财产品销售文件</w:t>
            </w:r>
            <w:r>
              <w:rPr>
                <w:rFonts w:ascii="黑体" w:hAnsi="黑体" w:eastAsia="黑体"/>
                <w:kern w:val="0"/>
                <w:sz w:val="18"/>
                <w:szCs w:val="18"/>
              </w:rPr>
              <w:t>关于投资理财产品及其全部风险的有关内容，同意本次</w:t>
            </w:r>
            <w:r>
              <w:rPr>
                <w:rFonts w:hint="eastAsia" w:ascii="黑体" w:hAnsi="黑体" w:eastAsia="黑体"/>
                <w:kern w:val="0"/>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5" w:hRule="exact"/>
        </w:trPr>
        <w:tc>
          <w:tcPr>
            <w:tcW w:w="675" w:type="dxa"/>
            <w:vMerge w:val="restart"/>
            <w:vAlign w:val="center"/>
          </w:tcPr>
          <w:p>
            <w:pPr>
              <w:jc w:val="center"/>
              <w:rPr>
                <w:b/>
                <w:kern w:val="0"/>
                <w:sz w:val="18"/>
                <w:szCs w:val="18"/>
              </w:rPr>
            </w:pPr>
            <w:r>
              <w:rPr>
                <w:rFonts w:hint="eastAsia"/>
                <w:b/>
                <w:kern w:val="0"/>
                <w:sz w:val="18"/>
                <w:szCs w:val="18"/>
              </w:rPr>
              <w:t>甲方签署栏</w:t>
            </w:r>
          </w:p>
        </w:tc>
        <w:tc>
          <w:tcPr>
            <w:tcW w:w="851" w:type="dxa"/>
          </w:tcPr>
          <w:p>
            <w:pPr>
              <w:rPr>
                <w:b/>
                <w:kern w:val="0"/>
                <w:sz w:val="18"/>
                <w:szCs w:val="18"/>
              </w:rPr>
            </w:pPr>
            <w:r>
              <w:rPr>
                <w:rFonts w:hint="eastAsia"/>
                <w:b/>
                <w:kern w:val="0"/>
                <w:sz w:val="18"/>
                <w:szCs w:val="18"/>
              </w:rPr>
              <w:t>个人投资者适用</w:t>
            </w:r>
          </w:p>
        </w:tc>
        <w:tc>
          <w:tcPr>
            <w:tcW w:w="6998" w:type="dxa"/>
          </w:tcPr>
          <w:p>
            <w:pPr>
              <w:rPr>
                <w:kern w:val="0"/>
                <w:sz w:val="18"/>
                <w:szCs w:val="18"/>
              </w:rPr>
            </w:pPr>
            <w:r>
              <w:rPr>
                <w:rFonts w:hint="eastAsia"/>
                <w:kern w:val="0"/>
                <w:sz w:val="18"/>
                <w:szCs w:val="18"/>
              </w:rPr>
              <w:t>甲方（签字）：</w:t>
            </w:r>
          </w:p>
          <w:p>
            <w:pPr>
              <w:rPr>
                <w:b/>
                <w:kern w:val="0"/>
                <w:sz w:val="18"/>
                <w:szCs w:val="18"/>
              </w:rPr>
            </w:pPr>
          </w:p>
          <w:p>
            <w:pPr>
              <w:rPr>
                <w:b/>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056" w:hRule="atLeast"/>
        </w:trPr>
        <w:tc>
          <w:tcPr>
            <w:tcW w:w="675" w:type="dxa"/>
            <w:vMerge w:val="continue"/>
          </w:tcPr>
          <w:p>
            <w:pPr>
              <w:rPr>
                <w:b/>
                <w:kern w:val="0"/>
                <w:sz w:val="18"/>
                <w:szCs w:val="18"/>
              </w:rPr>
            </w:pPr>
          </w:p>
        </w:tc>
        <w:tc>
          <w:tcPr>
            <w:tcW w:w="851" w:type="dxa"/>
          </w:tcPr>
          <w:p>
            <w:pPr>
              <w:rPr>
                <w:b/>
                <w:kern w:val="0"/>
                <w:sz w:val="18"/>
                <w:szCs w:val="18"/>
              </w:rPr>
            </w:pPr>
            <w:r>
              <w:rPr>
                <w:rFonts w:hint="eastAsia"/>
                <w:b/>
                <w:kern w:val="0"/>
                <w:sz w:val="18"/>
                <w:szCs w:val="18"/>
              </w:rPr>
              <w:t>机构投资者适用</w:t>
            </w:r>
          </w:p>
        </w:tc>
        <w:tc>
          <w:tcPr>
            <w:tcW w:w="6998" w:type="dxa"/>
          </w:tcPr>
          <w:p>
            <w:pPr>
              <w:rPr>
                <w:rFonts w:cs="Arial"/>
                <w:kern w:val="0"/>
                <w:sz w:val="18"/>
                <w:szCs w:val="18"/>
              </w:rPr>
            </w:pPr>
            <w:r>
              <w:rPr>
                <w:rFonts w:hint="eastAsia"/>
                <w:kern w:val="0"/>
                <w:sz w:val="18"/>
                <w:szCs w:val="18"/>
              </w:rPr>
              <w:t>甲方</w:t>
            </w:r>
            <w:r>
              <w:rPr>
                <w:rFonts w:hint="eastAsia" w:cs="Arial"/>
                <w:kern w:val="0"/>
                <w:sz w:val="18"/>
                <w:szCs w:val="18"/>
              </w:rPr>
              <w:t>（盖章）：</w:t>
            </w:r>
          </w:p>
          <w:p>
            <w:pPr>
              <w:rPr>
                <w:rFonts w:cs="Arial"/>
                <w:kern w:val="0"/>
                <w:sz w:val="18"/>
                <w:szCs w:val="18"/>
              </w:rPr>
            </w:pPr>
          </w:p>
          <w:p>
            <w:pPr>
              <w:rPr>
                <w:rFonts w:cs="Arial"/>
                <w:kern w:val="0"/>
                <w:sz w:val="18"/>
                <w:szCs w:val="18"/>
              </w:rPr>
            </w:pPr>
            <w:r>
              <w:rPr>
                <w:rFonts w:hint="eastAsia" w:cs="Arial"/>
                <w:kern w:val="0"/>
                <w:sz w:val="18"/>
                <w:szCs w:val="18"/>
              </w:rPr>
              <w:t>甲方法定代表人或授权代理人（签字或盖章）：</w:t>
            </w:r>
          </w:p>
          <w:p>
            <w:pPr>
              <w:rPr>
                <w:b/>
                <w:kern w:val="0"/>
                <w:sz w:val="18"/>
                <w:szCs w:val="18"/>
              </w:rPr>
            </w:pPr>
          </w:p>
          <w:p>
            <w:pPr>
              <w:rPr>
                <w:kern w:val="0"/>
                <w:sz w:val="18"/>
                <w:szCs w:val="18"/>
              </w:rPr>
            </w:pPr>
            <w:r>
              <w:rPr>
                <w:rFonts w:hint="eastAsia"/>
                <w:kern w:val="0"/>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363" w:hRule="atLeast"/>
        </w:trPr>
        <w:tc>
          <w:tcPr>
            <w:tcW w:w="675" w:type="dxa"/>
          </w:tcPr>
          <w:p>
            <w:pPr>
              <w:jc w:val="center"/>
              <w:rPr>
                <w:b/>
                <w:kern w:val="0"/>
                <w:sz w:val="18"/>
                <w:szCs w:val="18"/>
              </w:rPr>
            </w:pPr>
            <w:r>
              <w:rPr>
                <w:rFonts w:hint="eastAsia"/>
                <w:b/>
                <w:kern w:val="0"/>
                <w:sz w:val="18"/>
                <w:szCs w:val="18"/>
              </w:rPr>
              <w:t>乙方</w:t>
            </w:r>
            <w:r>
              <w:rPr>
                <w:b/>
                <w:kern w:val="0"/>
                <w:sz w:val="18"/>
                <w:szCs w:val="18"/>
              </w:rPr>
              <w:t>签署栏</w:t>
            </w:r>
          </w:p>
        </w:tc>
        <w:tc>
          <w:tcPr>
            <w:tcW w:w="7849" w:type="dxa"/>
            <w:gridSpan w:val="2"/>
          </w:tcPr>
          <w:p>
            <w:pPr>
              <w:rPr>
                <w:kern w:val="0"/>
                <w:sz w:val="18"/>
                <w:szCs w:val="18"/>
              </w:rPr>
            </w:pPr>
            <w:r>
              <w:rPr>
                <w:rFonts w:hint="eastAsia"/>
                <w:kern w:val="0"/>
                <w:sz w:val="18"/>
                <w:szCs w:val="18"/>
              </w:rPr>
              <w:t>乙方</w:t>
            </w:r>
            <w:r>
              <w:rPr>
                <w:kern w:val="0"/>
                <w:sz w:val="18"/>
                <w:szCs w:val="18"/>
              </w:rPr>
              <w:t>（</w:t>
            </w:r>
            <w:r>
              <w:rPr>
                <w:rFonts w:hint="eastAsia"/>
                <w:kern w:val="0"/>
                <w:sz w:val="18"/>
                <w:szCs w:val="18"/>
              </w:rPr>
              <w:t>盖章</w:t>
            </w:r>
            <w:r>
              <w:rPr>
                <w:kern w:val="0"/>
                <w:sz w:val="18"/>
                <w:szCs w:val="18"/>
              </w:rPr>
              <w:t>）</w:t>
            </w:r>
            <w:r>
              <w:rPr>
                <w:rFonts w:hint="eastAsia"/>
                <w:kern w:val="0"/>
                <w:sz w:val="18"/>
                <w:szCs w:val="18"/>
              </w:rPr>
              <w:t>：</w:t>
            </w:r>
          </w:p>
          <w:p>
            <w:pPr>
              <w:rPr>
                <w:b/>
                <w:kern w:val="0"/>
                <w:sz w:val="18"/>
                <w:szCs w:val="18"/>
              </w:rPr>
            </w:pPr>
          </w:p>
          <w:p>
            <w:pPr>
              <w:rPr>
                <w:kern w:val="0"/>
                <w:sz w:val="18"/>
                <w:szCs w:val="18"/>
              </w:rPr>
            </w:pPr>
            <w:r>
              <w:rPr>
                <w:rFonts w:hint="eastAsia"/>
                <w:kern w:val="0"/>
                <w:sz w:val="18"/>
                <w:szCs w:val="18"/>
              </w:rPr>
              <w:t>日期：</w:t>
            </w:r>
          </w:p>
        </w:tc>
      </w:tr>
    </w:tbl>
    <w:p>
      <w:pPr>
        <w:spacing w:line="360" w:lineRule="auto"/>
        <w:jc w:val="left"/>
        <w:rPr>
          <w:rFonts w:hint="eastAsia" w:ascii="宋体" w:hAnsi="宋体"/>
          <w:b/>
          <w:sz w:val="18"/>
          <w:szCs w:val="18"/>
        </w:rPr>
        <w:sectPr>
          <w:headerReference r:id="rId11" w:type="default"/>
          <w:footerReference r:id="rId12" w:type="default"/>
          <w:pgSz w:w="11906" w:h="16838"/>
          <w:pgMar w:top="1440" w:right="1800" w:bottom="1440" w:left="1800" w:header="851" w:footer="992" w:gutter="0"/>
          <w:cols w:space="425" w:num="1"/>
          <w:docGrid w:type="lines" w:linePitch="312" w:charSpace="0"/>
        </w:sectPr>
      </w:pPr>
      <w:r>
        <w:rPr>
          <w:rFonts w:hint="eastAsia" w:ascii="宋体" w:hAnsi="宋体"/>
          <w:b/>
          <w:sz w:val="18"/>
          <w:szCs w:val="18"/>
        </w:rPr>
        <w:t>（本《（代理）销售协议书》</w:t>
      </w:r>
      <w:r>
        <w:rPr>
          <w:rFonts w:hint="eastAsia" w:ascii="宋体" w:hAnsi="宋体" w:cs="Arial"/>
          <w:b/>
          <w:sz w:val="18"/>
          <w:szCs w:val="18"/>
        </w:rPr>
        <w:t>共有三份</w:t>
      </w:r>
      <w:r>
        <w:rPr>
          <w:rFonts w:ascii="宋体" w:hAnsi="宋体" w:cs="Arial"/>
          <w:b/>
          <w:sz w:val="18"/>
          <w:szCs w:val="18"/>
        </w:rPr>
        <w:t>签署</w:t>
      </w:r>
      <w:r>
        <w:rPr>
          <w:rFonts w:hint="eastAsia" w:ascii="宋体" w:hAnsi="宋体" w:cs="Arial"/>
          <w:b/>
          <w:sz w:val="18"/>
          <w:szCs w:val="18"/>
        </w:rPr>
        <w:t>文本，第一联销售机构留存，第二联投资者留存，第三联产品管理人留存</w:t>
      </w:r>
      <w:r>
        <w:rPr>
          <w:rFonts w:hint="eastAsia" w:ascii="宋体" w:hAnsi="宋体"/>
          <w:b/>
          <w:sz w:val="18"/>
          <w:szCs w:val="18"/>
        </w:rPr>
        <w:t>。）</w:t>
      </w:r>
    </w:p>
    <w:p>
      <w:pPr>
        <w:adjustRightInd w:val="0"/>
        <w:spacing w:line="276" w:lineRule="auto"/>
        <w:ind w:firstLine="422"/>
        <w:jc w:val="center"/>
        <w:rPr>
          <w:rFonts w:ascii="黑体" w:hAnsi="黑体" w:eastAsia="黑体"/>
          <w:b/>
          <w:bCs/>
          <w:sz w:val="28"/>
          <w:szCs w:val="28"/>
        </w:rPr>
      </w:pPr>
      <w:r>
        <w:rPr>
          <w:rFonts w:hint="eastAsia" w:ascii="黑体" w:hAnsi="黑体" w:eastAsia="黑体"/>
          <w:b/>
          <w:bCs/>
          <w:sz w:val="28"/>
          <w:szCs w:val="28"/>
        </w:rPr>
        <w:t>兴银理财【添利】</w:t>
      </w:r>
      <w:r>
        <w:rPr>
          <w:rFonts w:ascii="黑体" w:hAnsi="黑体" w:eastAsia="黑体"/>
          <w:b/>
          <w:bCs/>
          <w:sz w:val="28"/>
          <w:szCs w:val="28"/>
        </w:rPr>
        <w:t>理财产品</w:t>
      </w:r>
    </w:p>
    <w:p>
      <w:pPr>
        <w:adjustRightInd w:val="0"/>
        <w:spacing w:line="276" w:lineRule="auto"/>
        <w:ind w:firstLine="422"/>
        <w:jc w:val="center"/>
        <w:rPr>
          <w:rFonts w:ascii="黑体" w:hAnsi="黑体" w:eastAsia="黑体"/>
          <w:b/>
          <w:bCs/>
          <w:sz w:val="28"/>
          <w:szCs w:val="28"/>
        </w:rPr>
      </w:pPr>
      <w:r>
        <w:rPr>
          <w:rFonts w:ascii="黑体" w:hAnsi="黑体" w:eastAsia="黑体"/>
          <w:b/>
          <w:bCs/>
          <w:sz w:val="28"/>
          <w:szCs w:val="28"/>
        </w:rPr>
        <w:t>风险揭示书</w:t>
      </w:r>
    </w:p>
    <w:p>
      <w:pPr>
        <w:autoSpaceDE w:val="0"/>
        <w:autoSpaceDN w:val="0"/>
        <w:adjustRightInd w:val="0"/>
        <w:snapToGrid w:val="0"/>
        <w:spacing w:before="156" w:beforeLines="50" w:line="320" w:lineRule="exact"/>
        <w:jc w:val="center"/>
        <w:rPr>
          <w:rFonts w:ascii="宋体" w:hAnsi="宋体"/>
          <w:b/>
          <w:sz w:val="24"/>
        </w:rPr>
      </w:pPr>
      <w:r>
        <w:rPr>
          <w:rFonts w:hint="eastAsia" w:ascii="宋体" w:hAnsi="宋体"/>
          <w:b/>
          <w:sz w:val="24"/>
        </w:rPr>
        <w:t>理财非存款、产品有风险、投资须谨慎</w:t>
      </w:r>
    </w:p>
    <w:p>
      <w:pPr>
        <w:rPr>
          <w:rFonts w:ascii="宋体" w:hAnsi="宋体" w:cs="仿宋_GB2312"/>
          <w:b/>
          <w:kern w:val="0"/>
          <w:sz w:val="18"/>
          <w:szCs w:val="18"/>
        </w:rPr>
      </w:pPr>
      <w:r>
        <w:rPr>
          <w:rFonts w:hint="eastAsia" w:ascii="宋体" w:hAnsi="宋体" w:cs="仿宋_GB2312"/>
          <w:b/>
          <w:kern w:val="0"/>
          <w:sz w:val="18"/>
          <w:szCs w:val="18"/>
        </w:rPr>
        <w:t>尊敬的投资者：</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本理财产品不保证理财本金的安全及理财收益。在您选择购买本产品前，请仔细阅读以下内容：</w:t>
      </w:r>
    </w:p>
    <w:p>
      <w:pPr>
        <w:autoSpaceDE w:val="0"/>
        <w:autoSpaceDN w:val="0"/>
        <w:adjustRightInd w:val="0"/>
        <w:ind w:firstLine="420"/>
        <w:jc w:val="left"/>
        <w:rPr>
          <w:rFonts w:ascii="宋体" w:hAnsi="宋体"/>
          <w:sz w:val="18"/>
          <w:szCs w:val="18"/>
        </w:rPr>
      </w:pPr>
      <w:r>
        <w:rPr>
          <w:rFonts w:hint="eastAsia" w:ascii="宋体" w:hAnsi="宋体"/>
          <w:b/>
          <w:sz w:val="18"/>
          <w:szCs w:val="18"/>
        </w:rPr>
        <w:t>一</w:t>
      </w:r>
      <w:r>
        <w:rPr>
          <w:rFonts w:hint="eastAsia" w:ascii="宋体" w:hAnsi="宋体"/>
          <w:sz w:val="18"/>
          <w:szCs w:val="18"/>
        </w:rPr>
        <w:t>、</w:t>
      </w:r>
      <w:r>
        <w:rPr>
          <w:rFonts w:hint="eastAsia" w:ascii="黑体" w:hAnsi="黑体" w:eastAsia="黑体" w:cs="仿宋_GB2312"/>
          <w:bCs/>
          <w:kern w:val="0"/>
          <w:sz w:val="18"/>
          <w:szCs w:val="18"/>
        </w:rPr>
        <w:t>★</w:t>
      </w:r>
      <w:r>
        <w:rPr>
          <w:rFonts w:hint="eastAsia" w:ascii="黑体" w:hAnsi="黑体" w:eastAsia="黑体"/>
          <w:sz w:val="18"/>
          <w:szCs w:val="18"/>
        </w:rPr>
        <w:t>《投资协议书》、《产品说明书》、《（代理）销售协议书》、</w:t>
      </w:r>
      <w:r>
        <w:rPr>
          <w:rFonts w:hint="eastAsia" w:ascii="黑体" w:hAnsi="黑体" w:eastAsia="黑体"/>
          <w:sz w:val="18"/>
        </w:rPr>
        <w:t>《风险揭示书》、《投资者权益须知》</w:t>
      </w:r>
      <w:r>
        <w:rPr>
          <w:rFonts w:hint="eastAsia" w:ascii="黑体" w:hAnsi="黑体" w:eastAsia="黑体"/>
          <w:sz w:val="18"/>
          <w:szCs w:val="18"/>
        </w:rPr>
        <w:t>等有关文件共同构成一份完整且</w:t>
      </w:r>
      <w:r>
        <w:rPr>
          <w:rFonts w:hint="eastAsia" w:ascii="黑体" w:hAnsi="黑体" w:eastAsia="黑体"/>
          <w:sz w:val="18"/>
        </w:rPr>
        <w:t>不可分割的</w:t>
      </w:r>
      <w:r>
        <w:rPr>
          <w:rFonts w:hint="eastAsia" w:ascii="黑体" w:hAnsi="黑体" w:eastAsia="黑体"/>
          <w:sz w:val="18"/>
          <w:szCs w:val="18"/>
        </w:rPr>
        <w:t>理财产品销售文件</w:t>
      </w:r>
      <w:r>
        <w:rPr>
          <w:rFonts w:hint="eastAsia" w:ascii="宋体" w:hAnsi="宋体"/>
          <w:sz w:val="18"/>
          <w:szCs w:val="18"/>
        </w:rPr>
        <w:t>，在购买理财产品前，请您仔细阅读理财产品销售文件，确保自己完全理解该项投资的性质和面临的风险，详细了解和审慎评估该理财产品的资金投资方向、风险类型等情况，在慎重考虑后自行决定购买与自身风险承受能力和资产管理需求匹配的理财产品。</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二、</w:t>
      </w:r>
      <w:r>
        <w:rPr>
          <w:rFonts w:hint="eastAsia" w:ascii="黑体" w:hAnsi="黑体" w:eastAsia="黑体" w:cs="仿宋_GB2312"/>
          <w:bCs/>
          <w:kern w:val="0"/>
          <w:sz w:val="18"/>
          <w:szCs w:val="18"/>
        </w:rPr>
        <w:t>★</w:t>
      </w:r>
      <w:r>
        <w:rPr>
          <w:rFonts w:hint="eastAsia" w:ascii="宋体" w:hAnsi="宋体" w:cs="仿宋_GB2312"/>
          <w:kern w:val="0"/>
          <w:sz w:val="18"/>
          <w:szCs w:val="18"/>
        </w:rPr>
        <w:t>本产品基本信息</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（一）产品名称、</w:t>
      </w:r>
      <w:r>
        <w:rPr>
          <w:rFonts w:ascii="宋体" w:hAnsi="宋体" w:cs="仿宋_GB2312"/>
          <w:kern w:val="0"/>
          <w:sz w:val="18"/>
          <w:szCs w:val="18"/>
        </w:rPr>
        <w:t>销售名称及产品登记编码</w:t>
      </w:r>
    </w:p>
    <w:p>
      <w:pPr>
        <w:ind w:firstLine="448" w:firstLineChars="249"/>
        <w:rPr>
          <w:rFonts w:ascii="宋体" w:hAnsi="宋体" w:cs="仿宋_GB2312"/>
          <w:kern w:val="0"/>
          <w:sz w:val="18"/>
          <w:szCs w:val="18"/>
        </w:rPr>
      </w:pPr>
      <w:r>
        <w:rPr>
          <w:rFonts w:hint="eastAsia" w:ascii="宋体" w:hAnsi="宋体" w:cs="仿宋_GB2312"/>
          <w:kern w:val="0"/>
          <w:sz w:val="18"/>
          <w:szCs w:val="18"/>
        </w:rPr>
        <w:t>产品名称</w:t>
      </w:r>
      <w:r>
        <w:rPr>
          <w:rFonts w:ascii="宋体" w:hAnsi="宋体" w:cs="仿宋_GB2312"/>
          <w:kern w:val="0"/>
          <w:sz w:val="18"/>
          <w:szCs w:val="18"/>
        </w:rPr>
        <w:t>：</w:t>
      </w:r>
      <w:r>
        <w:rPr>
          <w:rFonts w:hint="eastAsia" w:ascii="宋体" w:hAnsi="宋体" w:cs="仿宋_GB2312"/>
          <w:bCs/>
          <w:kern w:val="0"/>
          <w:sz w:val="18"/>
          <w:szCs w:val="18"/>
        </w:rPr>
        <w:t>【</w:t>
      </w:r>
      <w:r>
        <w:rPr>
          <w:rFonts w:hint="eastAsia" w:ascii="宋体" w:hAnsi="宋体" w:cs="仿宋_GB2312"/>
          <w:kern w:val="0"/>
          <w:sz w:val="18"/>
          <w:szCs w:val="18"/>
        </w:rPr>
        <w:t>兴业银行添利3号净值型理财产品</w:t>
      </w:r>
      <w:r>
        <w:rPr>
          <w:rFonts w:hint="eastAsia" w:ascii="宋体" w:hAnsi="宋体" w:cs="仿宋_GB2312"/>
          <w:bCs/>
          <w:kern w:val="0"/>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销售</w:t>
      </w:r>
      <w:r>
        <w:rPr>
          <w:rFonts w:ascii="宋体" w:hAnsi="宋体" w:cs="仿宋_GB2312"/>
          <w:kern w:val="0"/>
          <w:sz w:val="18"/>
          <w:szCs w:val="18"/>
        </w:rPr>
        <w:t>名称：</w:t>
      </w:r>
      <w:r>
        <w:rPr>
          <w:rFonts w:hint="eastAsia" w:ascii="宋体" w:hAnsi="宋体"/>
          <w:bCs/>
          <w:sz w:val="18"/>
          <w:szCs w:val="18"/>
        </w:rPr>
        <w:t>【</w:t>
      </w:r>
      <w:r>
        <w:rPr>
          <w:rFonts w:hint="eastAsia" w:asciiTheme="minorEastAsia" w:hAnsiTheme="minorEastAsia"/>
          <w:sz w:val="18"/>
          <w:szCs w:val="18"/>
          <w:lang w:eastAsia="zh-CN"/>
        </w:rPr>
        <w:t>添利兴普惠2号</w:t>
      </w:r>
      <w:r>
        <w:rPr>
          <w:rFonts w:hint="eastAsia" w:ascii="宋体" w:hAnsi="宋体"/>
          <w:bCs/>
          <w:sz w:val="18"/>
          <w:szCs w:val="18"/>
        </w:rPr>
        <w:t>】</w:t>
      </w:r>
      <w:r>
        <w:rPr>
          <w:rFonts w:hint="eastAsia" w:ascii="宋体" w:hAnsi="宋体"/>
          <w:bCs/>
          <w:color w:val="000000" w:themeColor="text1"/>
          <w:sz w:val="18"/>
          <w:szCs w:val="18"/>
          <w14:textFill>
            <w14:solidFill>
              <w14:schemeClr w14:val="tx1"/>
            </w14:solidFill>
          </w14:textFill>
        </w:rPr>
        <w:t>（适用【E】类份额）</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ascii="宋体" w:hAnsi="宋体" w:cs="仿宋_GB2312"/>
          <w:kern w:val="0"/>
          <w:sz w:val="18"/>
          <w:szCs w:val="18"/>
        </w:rPr>
        <w:t>产品登记编码</w:t>
      </w:r>
      <w:r>
        <w:rPr>
          <w:rFonts w:hint="eastAsia" w:ascii="宋体" w:hAnsi="宋体" w:cs="仿宋_GB2312"/>
          <w:kern w:val="0"/>
          <w:sz w:val="18"/>
          <w:szCs w:val="18"/>
        </w:rPr>
        <w:t>：</w:t>
      </w:r>
      <w:r>
        <w:rPr>
          <w:rFonts w:hint="eastAsia" w:ascii="宋体" w:hAnsi="宋体"/>
          <w:bCs/>
          <w:sz w:val="18"/>
          <w:szCs w:val="18"/>
        </w:rPr>
        <w:t>【</w:t>
      </w:r>
      <w:r>
        <w:rPr>
          <w:rFonts w:asciiTheme="minorEastAsia" w:hAnsiTheme="minorEastAsia"/>
          <w:bCs/>
          <w:sz w:val="18"/>
          <w:szCs w:val="18"/>
        </w:rPr>
        <w:t>Z7002020000003</w:t>
      </w:r>
      <w:r>
        <w:rPr>
          <w:rFonts w:hint="eastAsia" w:ascii="宋体" w:hAnsi="宋体"/>
          <w:bCs/>
          <w:sz w:val="18"/>
          <w:szCs w:val="18"/>
        </w:rPr>
        <w:t>】</w:t>
      </w:r>
      <w:r>
        <w:rPr>
          <w:rFonts w:hint="eastAsia" w:ascii="宋体" w:hAnsi="宋体" w:cs="仿宋_GB2312"/>
          <w:kern w:val="0"/>
          <w:sz w:val="18"/>
          <w:szCs w:val="18"/>
        </w:rPr>
        <w:t>。</w:t>
      </w:r>
    </w:p>
    <w:p>
      <w:pPr>
        <w:ind w:firstLine="448" w:firstLineChars="249"/>
        <w:rPr>
          <w:rFonts w:ascii="宋体" w:hAnsi="宋体" w:cs="仿宋_GB2312"/>
          <w:kern w:val="0"/>
          <w:sz w:val="18"/>
          <w:szCs w:val="18"/>
        </w:rPr>
      </w:pPr>
      <w:r>
        <w:rPr>
          <w:rFonts w:hint="eastAsia" w:ascii="宋体" w:hAnsi="宋体" w:cs="仿宋_GB2312"/>
          <w:kern w:val="0"/>
          <w:sz w:val="18"/>
          <w:szCs w:val="18"/>
        </w:rPr>
        <w:t>（二）产品</w:t>
      </w:r>
      <w:r>
        <w:rPr>
          <w:rFonts w:ascii="宋体" w:hAnsi="宋体" w:cs="仿宋_GB2312"/>
          <w:kern w:val="0"/>
          <w:sz w:val="18"/>
          <w:szCs w:val="18"/>
        </w:rPr>
        <w:t>类型</w:t>
      </w:r>
    </w:p>
    <w:p>
      <w:pPr>
        <w:ind w:firstLine="448" w:firstLineChars="249"/>
        <w:rPr>
          <w:rFonts w:ascii="宋体" w:hAnsi="宋体" w:cs="仿宋_GB2312"/>
          <w:kern w:val="0"/>
          <w:sz w:val="18"/>
          <w:szCs w:val="18"/>
        </w:rPr>
      </w:pPr>
      <w:r>
        <w:rPr>
          <w:rFonts w:hint="eastAsia" w:ascii="宋体" w:hAnsi="宋体" w:cs="仿宋_GB2312"/>
          <w:kern w:val="0"/>
          <w:sz w:val="18"/>
          <w:szCs w:val="18"/>
        </w:rPr>
        <w:t>【公募、开放式、固定收益</w:t>
      </w:r>
      <w:r>
        <w:rPr>
          <w:rFonts w:ascii="宋体" w:hAnsi="宋体" w:cs="仿宋_GB2312"/>
          <w:kern w:val="0"/>
          <w:sz w:val="18"/>
          <w:szCs w:val="18"/>
        </w:rPr>
        <w:t>类</w:t>
      </w:r>
      <w:r>
        <w:rPr>
          <w:rFonts w:hint="eastAsia" w:ascii="宋体" w:hAnsi="宋体" w:cs="仿宋_GB2312"/>
          <w:kern w:val="0"/>
          <w:sz w:val="18"/>
          <w:szCs w:val="18"/>
        </w:rPr>
        <w:t>、非保本浮动</w:t>
      </w:r>
      <w:r>
        <w:rPr>
          <w:rFonts w:ascii="宋体" w:hAnsi="宋体" w:cs="仿宋_GB2312"/>
          <w:kern w:val="0"/>
          <w:sz w:val="18"/>
          <w:szCs w:val="18"/>
        </w:rPr>
        <w:t>收益</w:t>
      </w:r>
      <w:r>
        <w:rPr>
          <w:rFonts w:hint="eastAsia" w:ascii="宋体" w:hAnsi="宋体" w:cs="仿宋_GB2312"/>
          <w:kern w:val="0"/>
          <w:sz w:val="18"/>
          <w:szCs w:val="18"/>
        </w:rPr>
        <w:t>、净值型】理财产品。</w:t>
      </w:r>
    </w:p>
    <w:p>
      <w:pPr>
        <w:ind w:firstLine="448" w:firstLineChars="249"/>
        <w:rPr>
          <w:rFonts w:ascii="宋体" w:hAnsi="宋体" w:cs="仿宋_GB2312"/>
          <w:kern w:val="0"/>
          <w:sz w:val="18"/>
          <w:szCs w:val="18"/>
        </w:rPr>
      </w:pPr>
      <w:r>
        <w:rPr>
          <w:rFonts w:hint="eastAsia" w:ascii="宋体" w:hAnsi="宋体" w:cs="仿宋_GB2312"/>
          <w:kern w:val="0"/>
          <w:sz w:val="18"/>
          <w:szCs w:val="18"/>
        </w:rPr>
        <w:t>（三）产品</w:t>
      </w:r>
      <w:r>
        <w:rPr>
          <w:rFonts w:ascii="宋体" w:hAnsi="宋体" w:cs="仿宋_GB2312"/>
          <w:kern w:val="0"/>
          <w:sz w:val="18"/>
          <w:szCs w:val="18"/>
        </w:rPr>
        <w:t>期限</w:t>
      </w:r>
    </w:p>
    <w:p>
      <w:pPr>
        <w:ind w:firstLine="448" w:firstLineChars="249"/>
        <w:rPr>
          <w:rFonts w:ascii="宋体" w:hAnsi="宋体" w:cs="仿宋_GB2312"/>
          <w:kern w:val="0"/>
          <w:sz w:val="18"/>
          <w:szCs w:val="18"/>
        </w:rPr>
      </w:pPr>
      <w:r>
        <w:rPr>
          <w:rFonts w:hint="eastAsia" w:ascii="宋体" w:hAnsi="宋体" w:cs="仿宋_GB2312"/>
          <w:kern w:val="0"/>
          <w:sz w:val="18"/>
          <w:szCs w:val="18"/>
        </w:rPr>
        <w:t>【无固定</w:t>
      </w:r>
      <w:r>
        <w:rPr>
          <w:rFonts w:ascii="宋体" w:hAnsi="宋体" w:cs="仿宋_GB2312"/>
          <w:kern w:val="0"/>
          <w:sz w:val="18"/>
          <w:szCs w:val="18"/>
        </w:rPr>
        <w:t>期限</w:t>
      </w:r>
      <w:r>
        <w:rPr>
          <w:rFonts w:hint="eastAsia" w:ascii="宋体" w:hAnsi="宋体" w:cs="仿宋_GB2312"/>
          <w:kern w:val="0"/>
          <w:sz w:val="18"/>
          <w:szCs w:val="18"/>
        </w:rPr>
        <w:t>】</w:t>
      </w:r>
      <w:r>
        <w:rPr>
          <w:rFonts w:ascii="宋体" w:hAnsi="宋体" w:cs="仿宋_GB2312"/>
          <w:kern w:val="0"/>
          <w:sz w:val="18"/>
          <w:szCs w:val="18"/>
        </w:rPr>
        <w:t>。</w:t>
      </w:r>
    </w:p>
    <w:p>
      <w:pPr>
        <w:ind w:firstLine="498" w:firstLineChars="249"/>
        <w:rPr>
          <w:rFonts w:ascii="宋体" w:hAnsi="宋体" w:cs="仿宋_GB2312"/>
          <w:kern w:val="0"/>
          <w:sz w:val="18"/>
          <w:szCs w:val="18"/>
        </w:rPr>
      </w:pPr>
      <w:r>
        <w:rPr>
          <w:rFonts w:hint="eastAsia" w:ascii="宋体" w:hAnsiTheme="minorHAnsi"/>
          <w:color w:val="000000"/>
          <w:kern w:val="0"/>
          <w:sz w:val="20"/>
          <w:szCs w:val="20"/>
        </w:rPr>
        <w:t>本产品其他信息详见《产品说明书》。</w:t>
      </w:r>
    </w:p>
    <w:p>
      <w:pPr>
        <w:ind w:firstLine="448" w:firstLineChars="249"/>
        <w:rPr>
          <w:rFonts w:ascii="黑体" w:hAnsi="黑体" w:eastAsia="黑体"/>
          <w:sz w:val="18"/>
          <w:szCs w:val="18"/>
        </w:rPr>
      </w:pPr>
      <w:r>
        <w:rPr>
          <w:rFonts w:hint="eastAsia" w:ascii="黑体" w:hAnsi="黑体" w:eastAsia="黑体"/>
          <w:sz w:val="18"/>
          <w:szCs w:val="18"/>
        </w:rPr>
        <w:t>产品管理人对本产品的理财本金和收益不提供保证承诺</w:t>
      </w:r>
      <w:r>
        <w:rPr>
          <w:rFonts w:hint="eastAsia" w:ascii="黑体" w:hAnsi="黑体" w:eastAsia="黑体"/>
          <w:bCs/>
          <w:sz w:val="18"/>
          <w:szCs w:val="18"/>
        </w:rPr>
        <w:t>，</w:t>
      </w:r>
      <w:r>
        <w:rPr>
          <w:rFonts w:hint="eastAsia" w:ascii="黑体" w:hAnsi="黑体" w:eastAsia="黑体"/>
          <w:sz w:val="18"/>
          <w:szCs w:val="18"/>
        </w:rPr>
        <w:t>在发生最不利的情况下（可能但不一定发生），投资者可能无法取得理财收益，并可能面临损失理财本金的风险。</w:t>
      </w:r>
    </w:p>
    <w:p>
      <w:pPr>
        <w:ind w:firstLine="448" w:firstLineChars="249"/>
        <w:rPr>
          <w:rFonts w:ascii="宋体" w:hAnsi="宋体" w:cs="仿宋_GB2312"/>
          <w:kern w:val="0"/>
          <w:sz w:val="18"/>
          <w:szCs w:val="18"/>
        </w:rPr>
      </w:pPr>
      <w:r>
        <w:rPr>
          <w:rFonts w:hint="eastAsia" w:ascii="黑体" w:hAnsi="黑体" w:eastAsia="黑体" w:cs="仿宋_GB2312"/>
          <w:bCs/>
          <w:kern w:val="0"/>
          <w:sz w:val="18"/>
          <w:szCs w:val="18"/>
        </w:rPr>
        <w:t>三、</w:t>
      </w:r>
      <w:r>
        <w:rPr>
          <w:rFonts w:hint="eastAsia" w:ascii="宋体" w:hAnsi="宋体" w:cs="仿宋_GB2312"/>
          <w:kern w:val="0"/>
          <w:sz w:val="18"/>
          <w:szCs w:val="18"/>
        </w:rPr>
        <w:t>本产品的风险评级及适合投资者风险承受能力</w:t>
      </w:r>
    </w:p>
    <w:p>
      <w:pPr>
        <w:ind w:firstLine="448" w:firstLineChars="249"/>
        <w:rPr>
          <w:rFonts w:ascii="宋体" w:hAnsi="宋体" w:cs="仿宋_GB2312"/>
          <w:kern w:val="0"/>
          <w:sz w:val="18"/>
          <w:szCs w:val="18"/>
        </w:rPr>
      </w:pPr>
      <w:r>
        <w:rPr>
          <w:rFonts w:hint="eastAsia" w:ascii="宋体" w:hAnsi="宋体" w:cs="仿宋_GB2312"/>
          <w:kern w:val="0"/>
          <w:sz w:val="18"/>
          <w:szCs w:val="18"/>
        </w:rPr>
        <w:t>（一）产品风险评级</w:t>
      </w:r>
    </w:p>
    <w:p>
      <w:pPr>
        <w:ind w:firstLine="448" w:firstLineChars="249"/>
        <w:rPr>
          <w:rFonts w:ascii="宋体" w:hAnsi="宋体" w:cs="仿宋_GB2312"/>
          <w:kern w:val="0"/>
          <w:sz w:val="18"/>
          <w:szCs w:val="18"/>
        </w:rPr>
      </w:pPr>
      <w:r>
        <w:rPr>
          <w:rFonts w:hint="eastAsia" w:ascii="宋体" w:hAnsi="宋体" w:cs="仿宋_GB2312"/>
          <w:kern w:val="0"/>
          <w:sz w:val="18"/>
          <w:szCs w:val="18"/>
        </w:rPr>
        <w:t>本理财产品风险评级最终定义为【R1</w:t>
      </w:r>
      <w:r>
        <w:rPr>
          <w:rFonts w:ascii="宋体" w:hAnsi="宋体" w:cs="仿宋_GB2312"/>
          <w:kern w:val="0"/>
          <w:sz w:val="18"/>
          <w:szCs w:val="18"/>
        </w:rPr>
        <w:t>】</w:t>
      </w:r>
      <w:r>
        <w:rPr>
          <w:rFonts w:hint="eastAsia" w:ascii="宋体" w:hAnsi="宋体" w:cs="仿宋_GB2312"/>
          <w:kern w:val="0"/>
          <w:sz w:val="18"/>
          <w:szCs w:val="18"/>
        </w:rPr>
        <w:t>（产品管理人定义的产品风险评级为【R1</w:t>
      </w:r>
      <w:r>
        <w:rPr>
          <w:rFonts w:ascii="宋体" w:hAnsi="宋体" w:cs="仿宋_GB2312"/>
          <w:kern w:val="0"/>
          <w:sz w:val="18"/>
          <w:szCs w:val="18"/>
        </w:rPr>
        <w:t>】</w:t>
      </w:r>
      <w:r>
        <w:rPr>
          <w:rFonts w:hint="eastAsia" w:ascii="宋体" w:hAnsi="宋体" w:cs="仿宋_GB2312"/>
          <w:kern w:val="0"/>
          <w:sz w:val="18"/>
          <w:szCs w:val="18"/>
        </w:rPr>
        <w:t>；代理销售机构定义的产品风险评级为【R1】）。</w:t>
      </w:r>
      <w:r>
        <w:rPr>
          <w:rFonts w:hint="eastAsia" w:asciiTheme="majorEastAsia" w:hAnsiTheme="majorEastAsia" w:eastAsiaTheme="majorEastAsia"/>
          <w:bCs/>
          <w:kern w:val="0"/>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ind w:firstLine="448" w:firstLineChars="249"/>
        <w:rPr>
          <w:rFonts w:ascii="宋体" w:hAnsi="宋体" w:cs="仿宋_GB2312"/>
          <w:kern w:val="0"/>
          <w:sz w:val="18"/>
          <w:szCs w:val="18"/>
        </w:rPr>
      </w:pPr>
      <w:r>
        <w:rPr>
          <w:rFonts w:hint="eastAsia" w:ascii="宋体" w:hAnsi="宋体" w:cs="仿宋_GB2312"/>
          <w:kern w:val="0"/>
          <w:sz w:val="18"/>
          <w:szCs w:val="18"/>
        </w:rPr>
        <w:t>（二）适合投资者类型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宋体" w:hAnsi="宋体" w:cs="仿宋_GB2312"/>
          <w:kern w:val="0"/>
          <w:sz w:val="18"/>
          <w:szCs w:val="18"/>
        </w:rPr>
        <w:t>1、</w:t>
      </w:r>
      <w:r>
        <w:rPr>
          <w:rFonts w:hint="eastAsia" w:asciiTheme="majorEastAsia" w:hAnsiTheme="majorEastAsia" w:eastAsiaTheme="majorEastAsia"/>
          <w:bCs/>
          <w:color w:val="000000" w:themeColor="text1"/>
          <w:sz w:val="18"/>
          <w:szCs w:val="18"/>
          <w14:textFill>
            <w14:solidFill>
              <w14:schemeClr w14:val="tx1"/>
            </w14:solidFill>
          </w14:textFill>
        </w:rPr>
        <w:t>销售机构认为本产品适合以下投资者类型：</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■个人投资者</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w:t>
      </w:r>
      <w:r>
        <w:rPr>
          <w:rFonts w:hint="eastAsia" w:asciiTheme="majorEastAsia" w:hAnsiTheme="majorEastAsia" w:eastAsiaTheme="majorEastAsia"/>
          <w:bCs/>
          <w:color w:val="000000" w:themeColor="text1"/>
          <w:sz w:val="18"/>
          <w:szCs w:val="18"/>
          <w14:textFill>
            <w14:solidFill>
              <w14:schemeClr w14:val="tx1"/>
            </w14:solidFill>
          </w14:textFill>
        </w:rPr>
        <w:t>6</w:t>
      </w:r>
      <w:r>
        <w:rPr>
          <w:rFonts w:asciiTheme="majorEastAsia" w:hAnsiTheme="majorEastAsia" w:eastAsiaTheme="majorEastAsia"/>
          <w:bCs/>
          <w:color w:val="000000" w:themeColor="text1"/>
          <w:sz w:val="18"/>
          <w:szCs w:val="18"/>
          <w14:textFill>
            <w14:solidFill>
              <w14:schemeClr w14:val="tx1"/>
            </w14:solidFill>
          </w14:textFill>
        </w:rPr>
        <w:t>】</w:t>
      </w:r>
      <w:r>
        <w:rPr>
          <w:rFonts w:hint="eastAsia" w:asciiTheme="majorEastAsia" w:hAnsiTheme="majorEastAsia" w:eastAsiaTheme="majorEastAsia"/>
          <w:bCs/>
          <w:color w:val="000000" w:themeColor="text1"/>
          <w:sz w:val="18"/>
          <w:szCs w:val="18"/>
          <w14:textFill>
            <w14:solidFill>
              <w14:schemeClr w14:val="tx1"/>
            </w14:solidFill>
          </w14:textFill>
        </w:rPr>
        <w:t>。</w:t>
      </w:r>
    </w:p>
    <w:p>
      <w:pPr>
        <w:ind w:firstLine="360" w:firstLineChars="200"/>
        <w:rPr>
          <w:rFonts w:asciiTheme="majorEastAsia" w:hAnsiTheme="majorEastAsia" w:eastAsiaTheme="majorEastAsia"/>
          <w:bCs/>
          <w:color w:val="000000" w:themeColor="text1"/>
          <w:sz w:val="18"/>
          <w:szCs w:val="18"/>
          <w14:textFill>
            <w14:solidFill>
              <w14:schemeClr w14:val="tx1"/>
            </w14:solidFill>
          </w14:textFill>
        </w:rPr>
      </w:pPr>
      <w:r>
        <w:rPr>
          <w:rFonts w:hint="eastAsia" w:asciiTheme="majorEastAsia" w:hAnsiTheme="majorEastAsia" w:eastAsiaTheme="majorEastAsia"/>
          <w:bCs/>
          <w:color w:val="000000" w:themeColor="text1"/>
          <w:sz w:val="18"/>
          <w:szCs w:val="18"/>
          <w14:textFill>
            <w14:solidFill>
              <w14:schemeClr w14:val="tx1"/>
            </w14:solidFill>
          </w14:textFill>
        </w:rPr>
        <w:t>■机构投资者：□一般</w:t>
      </w:r>
      <w:r>
        <w:rPr>
          <w:rFonts w:asciiTheme="majorEastAsia" w:hAnsiTheme="majorEastAsia" w:eastAsiaTheme="majorEastAsia"/>
          <w:bCs/>
          <w:color w:val="000000" w:themeColor="text1"/>
          <w:sz w:val="18"/>
          <w:szCs w:val="18"/>
          <w14:textFill>
            <w14:solidFill>
              <w14:schemeClr w14:val="tx1"/>
            </w14:solidFill>
          </w14:textFill>
        </w:rPr>
        <w:t>机构</w:t>
      </w:r>
      <w:r>
        <w:rPr>
          <w:rFonts w:hint="eastAsia" w:asciiTheme="majorEastAsia" w:hAnsiTheme="majorEastAsia" w:eastAsiaTheme="majorEastAsia"/>
          <w:bCs/>
          <w:color w:val="000000" w:themeColor="text1"/>
          <w:sz w:val="18"/>
          <w:szCs w:val="18"/>
          <w14:textFill>
            <w14:solidFill>
              <w14:schemeClr w14:val="tx1"/>
            </w14:solidFill>
          </w14:textFill>
        </w:rPr>
        <w:t>客户【□</w:t>
      </w:r>
      <w:r>
        <w:rPr>
          <w:rFonts w:asciiTheme="majorEastAsia" w:hAnsiTheme="majorEastAsia" w:eastAsiaTheme="majorEastAsia"/>
          <w:bCs/>
          <w:color w:val="000000" w:themeColor="text1"/>
          <w:sz w:val="18"/>
          <w:szCs w:val="18"/>
          <w14:textFill>
            <w14:solidFill>
              <w14:schemeClr w14:val="tx1"/>
            </w14:solidFill>
          </w14:textFill>
        </w:rPr>
        <w:t xml:space="preserve"> C1、</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C2、</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C3、</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C4、</w:t>
      </w:r>
      <w:r>
        <w:rPr>
          <w:rFonts w:hint="eastAsia" w:asciiTheme="majorEastAsia" w:hAnsiTheme="majorEastAsia" w:eastAsiaTheme="majorEastAsia"/>
          <w:bCs/>
          <w:color w:val="000000" w:themeColor="text1"/>
          <w:sz w:val="18"/>
          <w:szCs w:val="18"/>
          <w14:textFill>
            <w14:solidFill>
              <w14:schemeClr w14:val="tx1"/>
            </w14:solidFill>
          </w14:textFill>
        </w:rPr>
        <w:t xml:space="preserve">□ </w:t>
      </w:r>
      <w:r>
        <w:rPr>
          <w:rFonts w:asciiTheme="majorEastAsia" w:hAnsiTheme="majorEastAsia" w:eastAsiaTheme="majorEastAsia"/>
          <w:bCs/>
          <w:color w:val="000000" w:themeColor="text1"/>
          <w:sz w:val="18"/>
          <w:szCs w:val="18"/>
          <w14:textFill>
            <w14:solidFill>
              <w14:schemeClr w14:val="tx1"/>
            </w14:solidFill>
          </w14:textFill>
        </w:rPr>
        <w:t>C5】</w:t>
      </w:r>
      <w:r>
        <w:rPr>
          <w:rFonts w:hint="eastAsia" w:asciiTheme="majorEastAsia" w:hAnsiTheme="majorEastAsia" w:eastAsiaTheme="majorEastAsia"/>
          <w:bCs/>
          <w:color w:val="000000" w:themeColor="text1"/>
          <w:sz w:val="18"/>
          <w:szCs w:val="18"/>
          <w14:textFill>
            <w14:solidFill>
              <w14:schemeClr w14:val="tx1"/>
            </w14:solidFill>
          </w14:textFill>
        </w:rPr>
        <w:t>，■金融同业客户。</w:t>
      </w:r>
    </w:p>
    <w:p>
      <w:pPr>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、销售机构在销售本产品时，其对投资者风险承受能力等级的划分与表述可能与产品管理人存在差异，即采用销售机构设置的标准。</w:t>
      </w:r>
    </w:p>
    <w:p>
      <w:pPr>
        <w:ind w:firstLine="360" w:firstLineChars="200"/>
        <w:rPr>
          <w:rFonts w:ascii="宋体" w:hAnsi="宋体" w:cs="仿宋_GB2312"/>
          <w:kern w:val="0"/>
          <w:sz w:val="18"/>
          <w:szCs w:val="18"/>
        </w:rPr>
      </w:pPr>
      <w:r>
        <w:rPr>
          <w:rFonts w:hint="eastAsia" w:ascii="宋体" w:hAnsi="宋体" w:cs="仿宋_GB2312"/>
          <w:kern w:val="0"/>
          <w:sz w:val="18"/>
          <w:szCs w:val="18"/>
        </w:rPr>
        <w:t>销售机构应以书面的方式向投资者明示其对投资者风险承受能力等级的划分与“适合投资者类型”的表述。</w:t>
      </w:r>
    </w:p>
    <w:p>
      <w:pPr>
        <w:ind w:firstLine="448" w:firstLineChars="249"/>
        <w:rPr>
          <w:rFonts w:ascii="宋体" w:hAnsi="宋体" w:cs="仿宋_GB2312"/>
          <w:kern w:val="0"/>
          <w:sz w:val="18"/>
          <w:szCs w:val="18"/>
        </w:rPr>
      </w:pPr>
      <w:r>
        <w:rPr>
          <w:rFonts w:hint="eastAsia" w:ascii="黑体" w:hAnsi="黑体" w:eastAsia="黑体" w:cs="仿宋_GB2312"/>
          <w:kern w:val="0"/>
          <w:sz w:val="18"/>
          <w:szCs w:val="18"/>
        </w:rPr>
        <w:t>四、</w:t>
      </w:r>
      <w:r>
        <w:rPr>
          <w:rFonts w:hint="eastAsia" w:ascii="宋体" w:hAnsi="宋体" w:cs="仿宋_GB2312"/>
          <w:kern w:val="0"/>
          <w:sz w:val="18"/>
          <w:szCs w:val="18"/>
        </w:rPr>
        <w:t>您应充分认识投资风险，谨慎投资。</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（一）投资者投资本产品可能面临的特定风险主要包括（但不限于）：</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（1）投资固定收益类资产的风险</w:t>
      </w:r>
    </w:p>
    <w:p>
      <w:pPr>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固定收益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58"/>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58"/>
        <w:ind w:firstLine="426" w:firstLineChars="0"/>
        <w:rPr>
          <w:rFonts w:ascii="宋体" w:hAnsi="宋体" w:cs="仿宋_GB2312"/>
          <w:kern w:val="0"/>
          <w:sz w:val="18"/>
          <w:szCs w:val="18"/>
        </w:rPr>
      </w:pPr>
      <w:r>
        <w:rPr>
          <w:rFonts w:hint="eastAsia" w:ascii="宋体" w:hAnsi="宋体"/>
          <w:sz w:val="18"/>
          <w:szCs w:val="18"/>
        </w:rPr>
        <w:t xml:space="preserve">（二）投资者投资本产品可能面临的一般风险主要包括（但不限于）： </w:t>
      </w:r>
    </w:p>
    <w:p>
      <w:pPr>
        <w:pStyle w:val="58"/>
        <w:ind w:firstLine="426" w:firstLineChars="0"/>
        <w:rPr>
          <w:rFonts w:ascii="宋体" w:hAnsi="宋体" w:cs="仿宋_GB2312"/>
          <w:kern w:val="0"/>
          <w:sz w:val="18"/>
          <w:szCs w:val="18"/>
        </w:rPr>
      </w:pPr>
      <w:r>
        <w:rPr>
          <w:rFonts w:ascii="宋体" w:hAnsi="宋体"/>
          <w:b/>
          <w:bCs/>
          <w:sz w:val="18"/>
          <w:szCs w:val="18"/>
        </w:rPr>
        <w:t>1</w:t>
      </w:r>
      <w:r>
        <w:rPr>
          <w:rFonts w:hint="eastAsia" w:ascii="宋体" w:hAnsi="宋体"/>
          <w:b/>
          <w:bCs/>
          <w:sz w:val="18"/>
          <w:szCs w:val="18"/>
        </w:rPr>
        <w:t>.</w:t>
      </w:r>
      <w:r>
        <w:rPr>
          <w:rFonts w:ascii="宋体" w:hAnsi="宋体"/>
          <w:b/>
          <w:bCs/>
          <w:sz w:val="18"/>
          <w:szCs w:val="18"/>
        </w:rPr>
        <w:t>信用风险:</w:t>
      </w:r>
      <w:r>
        <w:rPr>
          <w:rFonts w:hint="eastAsia" w:ascii="宋体" w:hAnsi="宋体" w:cs="仿宋_GB2312"/>
          <w:kern w:val="0"/>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pStyle w:val="58"/>
        <w:ind w:firstLine="426" w:firstLineChars="0"/>
        <w:rPr>
          <w:rFonts w:ascii="宋体" w:hAnsi="宋体" w:cs="仿宋_GB2312"/>
          <w:kern w:val="0"/>
          <w:sz w:val="18"/>
          <w:szCs w:val="18"/>
        </w:rPr>
      </w:pPr>
      <w:r>
        <w:rPr>
          <w:rFonts w:ascii="宋体" w:hAnsi="宋体"/>
          <w:b/>
          <w:bCs/>
          <w:sz w:val="18"/>
          <w:szCs w:val="18"/>
        </w:rPr>
        <w:t>2</w:t>
      </w:r>
      <w:r>
        <w:rPr>
          <w:rFonts w:hint="eastAsia" w:ascii="宋体" w:hAnsi="宋体"/>
          <w:b/>
          <w:bCs/>
          <w:sz w:val="18"/>
          <w:szCs w:val="18"/>
        </w:rPr>
        <w:t>.</w:t>
      </w:r>
      <w:r>
        <w:rPr>
          <w:rFonts w:ascii="宋体" w:hAnsi="宋体"/>
          <w:b/>
          <w:bCs/>
          <w:sz w:val="18"/>
          <w:szCs w:val="18"/>
        </w:rPr>
        <w:t>利率风险：</w:t>
      </w:r>
      <w:r>
        <w:rPr>
          <w:rFonts w:hint="eastAsia" w:ascii="宋体" w:hAnsi="宋体" w:cs="仿宋_GB2312"/>
          <w:kern w:val="0"/>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pStyle w:val="58"/>
        <w:ind w:firstLine="426" w:firstLineChars="0"/>
        <w:rPr>
          <w:rFonts w:ascii="宋体" w:hAnsi="宋体" w:cs="仿宋_GB2312"/>
          <w:kern w:val="0"/>
          <w:sz w:val="18"/>
          <w:szCs w:val="18"/>
        </w:rPr>
      </w:pPr>
      <w:r>
        <w:rPr>
          <w:rFonts w:hint="eastAsia" w:ascii="宋体" w:hAnsi="宋体"/>
          <w:b/>
          <w:bCs/>
          <w:sz w:val="18"/>
          <w:szCs w:val="18"/>
        </w:rPr>
        <w:t>3.市场</w:t>
      </w:r>
      <w:r>
        <w:rPr>
          <w:rFonts w:ascii="宋体" w:hAnsi="宋体"/>
          <w:b/>
          <w:bCs/>
          <w:sz w:val="18"/>
          <w:szCs w:val="18"/>
        </w:rPr>
        <w:t>风险：</w:t>
      </w:r>
      <w:r>
        <w:rPr>
          <w:rFonts w:hint="eastAsia" w:ascii="宋体" w:hAnsi="宋体" w:cs="仿宋_GB2312"/>
          <w:kern w:val="0"/>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pStyle w:val="58"/>
        <w:ind w:firstLine="426" w:firstLineChars="0"/>
        <w:rPr>
          <w:rFonts w:ascii="宋体" w:hAnsi="宋体" w:cs="仿宋_GB2312"/>
          <w:b/>
          <w:kern w:val="0"/>
          <w:sz w:val="18"/>
          <w:szCs w:val="18"/>
        </w:rPr>
      </w:pPr>
      <w:r>
        <w:rPr>
          <w:rFonts w:hint="eastAsia" w:ascii="宋体" w:hAnsi="宋体" w:cs="仿宋_GB2312"/>
          <w:b/>
          <w:kern w:val="0"/>
          <w:sz w:val="18"/>
          <w:szCs w:val="18"/>
        </w:rPr>
        <w:t>4.流动性风险：</w:t>
      </w:r>
      <w:r>
        <w:rPr>
          <w:rFonts w:hint="eastAsia" w:ascii="宋体" w:hAnsi="宋体" w:cs="仿宋_GB2312"/>
          <w:bCs/>
          <w:kern w:val="0"/>
          <w:sz w:val="18"/>
          <w:szCs w:val="18"/>
        </w:rPr>
        <w:t>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pStyle w:val="58"/>
        <w:ind w:firstLine="426" w:firstLineChars="0"/>
        <w:rPr>
          <w:rFonts w:ascii="宋体" w:hAnsi="宋体" w:cs="仿宋_GB2312"/>
          <w:kern w:val="0"/>
          <w:sz w:val="18"/>
          <w:szCs w:val="18"/>
        </w:rPr>
      </w:pPr>
      <w:r>
        <w:rPr>
          <w:rFonts w:hint="eastAsia" w:ascii="宋体" w:hAnsi="宋体" w:cs="仿宋_GB2312"/>
          <w:b/>
          <w:kern w:val="0"/>
          <w:sz w:val="18"/>
          <w:szCs w:val="18"/>
        </w:rPr>
        <w:t>5.</w:t>
      </w:r>
      <w:r>
        <w:rPr>
          <w:rFonts w:ascii="宋体" w:hAnsi="宋体" w:cs="仿宋_GB2312"/>
          <w:b/>
          <w:kern w:val="0"/>
          <w:sz w:val="18"/>
          <w:szCs w:val="18"/>
        </w:rPr>
        <w:t>法律与政策风险：</w:t>
      </w:r>
      <w:r>
        <w:rPr>
          <w:rFonts w:hint="eastAsia" w:ascii="宋体" w:hAnsi="宋体" w:cs="仿宋_GB2312"/>
          <w:kern w:val="0"/>
          <w:sz w:val="18"/>
          <w:szCs w:val="18"/>
        </w:rPr>
        <w:t>国家监管政策、货币政策、财政税收政策、产业政策、宏观政策及相关法律、法规的调整与变化将会影响本产品的设立、投资及管理等的正常运行，甚至导致本产品发生损失。</w:t>
      </w:r>
    </w:p>
    <w:p>
      <w:pPr>
        <w:pStyle w:val="58"/>
        <w:ind w:firstLine="426" w:firstLineChars="0"/>
        <w:rPr>
          <w:rFonts w:ascii="宋体" w:hAnsi="宋体" w:cs="仿宋_GB2312"/>
          <w:kern w:val="0"/>
          <w:sz w:val="18"/>
          <w:szCs w:val="18"/>
        </w:rPr>
      </w:pPr>
      <w:r>
        <w:rPr>
          <w:rFonts w:hint="eastAsia" w:ascii="宋体" w:hAnsi="宋体"/>
          <w:b/>
          <w:bCs/>
          <w:sz w:val="18"/>
          <w:szCs w:val="18"/>
        </w:rPr>
        <w:t>6.</w:t>
      </w:r>
      <w:r>
        <w:rPr>
          <w:rFonts w:ascii="宋体" w:hAnsi="宋体"/>
          <w:b/>
          <w:bCs/>
          <w:sz w:val="18"/>
          <w:szCs w:val="18"/>
        </w:rPr>
        <w:t>延期</w:t>
      </w:r>
      <w:r>
        <w:rPr>
          <w:rFonts w:hint="eastAsia" w:ascii="宋体" w:hAnsi="宋体"/>
          <w:b/>
          <w:bCs/>
          <w:sz w:val="18"/>
          <w:szCs w:val="18"/>
        </w:rPr>
        <w:t>分配</w:t>
      </w:r>
      <w:r>
        <w:rPr>
          <w:rFonts w:ascii="宋体" w:hAnsi="宋体"/>
          <w:b/>
          <w:bCs/>
          <w:sz w:val="18"/>
          <w:szCs w:val="18"/>
        </w:rPr>
        <w:t>风险：</w:t>
      </w:r>
      <w:r>
        <w:rPr>
          <w:rFonts w:hint="eastAsia" w:ascii="宋体" w:hAnsi="宋体" w:cs="仿宋_GB2312"/>
          <w:kern w:val="0"/>
          <w:sz w:val="18"/>
          <w:szCs w:val="18"/>
        </w:rPr>
        <w:t>指因市场内部和外部的原因导致理财基础资产不能及时变现而造成理财产品不能按时分配，理财期限将相应延长，从而导致本产品部分资金的延期分配。</w:t>
      </w:r>
    </w:p>
    <w:p>
      <w:pPr>
        <w:pStyle w:val="58"/>
        <w:ind w:firstLine="426" w:firstLineChars="0"/>
        <w:rPr>
          <w:rFonts w:ascii="宋体" w:hAnsi="宋体" w:cs="仿宋_GB2312"/>
          <w:kern w:val="0"/>
          <w:sz w:val="18"/>
          <w:szCs w:val="18"/>
        </w:rPr>
      </w:pPr>
      <w:r>
        <w:rPr>
          <w:rFonts w:hint="eastAsia" w:ascii="宋体" w:hAnsi="宋体" w:cs="仿宋_GB2312"/>
          <w:b/>
          <w:kern w:val="0"/>
          <w:sz w:val="18"/>
          <w:szCs w:val="18"/>
        </w:rPr>
        <w:t>7.</w:t>
      </w:r>
      <w:r>
        <w:rPr>
          <w:rFonts w:ascii="宋体" w:hAnsi="宋体" w:cs="仿宋_GB2312"/>
          <w:b/>
          <w:kern w:val="0"/>
          <w:sz w:val="18"/>
          <w:szCs w:val="18"/>
        </w:rPr>
        <w:t>早偿风险：</w:t>
      </w:r>
      <w:r>
        <w:rPr>
          <w:rFonts w:hint="eastAsia" w:ascii="宋体" w:hAnsi="宋体" w:cs="仿宋_GB2312"/>
          <w:kern w:val="0"/>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pStyle w:val="58"/>
        <w:ind w:firstLine="426" w:firstLineChars="0"/>
        <w:rPr>
          <w:rFonts w:ascii="宋体" w:hAnsi="宋体" w:cs="仿宋_GB2312"/>
          <w:kern w:val="0"/>
          <w:sz w:val="18"/>
          <w:szCs w:val="18"/>
        </w:rPr>
      </w:pPr>
      <w:r>
        <w:rPr>
          <w:rFonts w:hint="eastAsia" w:ascii="宋体" w:hAnsi="宋体"/>
          <w:b/>
          <w:bCs/>
          <w:sz w:val="18"/>
          <w:szCs w:val="18"/>
        </w:rPr>
        <w:t>8.</w:t>
      </w:r>
      <w:r>
        <w:rPr>
          <w:rFonts w:ascii="宋体" w:hAnsi="宋体"/>
          <w:b/>
          <w:bCs/>
          <w:sz w:val="18"/>
          <w:szCs w:val="18"/>
        </w:rPr>
        <w:t>信息传递风险：</w:t>
      </w:r>
      <w:r>
        <w:rPr>
          <w:rFonts w:hint="eastAsia" w:ascii="宋体" w:hAnsi="宋体" w:cs="仿宋_GB2312"/>
          <w:kern w:val="0"/>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hint="eastAsia" w:ascii="黑体" w:hAnsi="黑体" w:eastAsia="黑体" w:cs="仿宋_GB2312"/>
          <w:bCs/>
          <w:kern w:val="0"/>
          <w:sz w:val="18"/>
          <w:szCs w:val="18"/>
        </w:rPr>
        <w:t>★</w:t>
      </w:r>
      <w:r>
        <w:rPr>
          <w:rFonts w:ascii="黑体" w:hAnsi="黑体" w:eastAsia="黑体" w:cs="仿宋_GB2312"/>
          <w:kern w:val="0"/>
          <w:sz w:val="18"/>
          <w:szCs w:val="18"/>
        </w:rPr>
        <w:t>如果投资者未及时查询，或由于通讯故障、系统故障以及其他不可抗力等因素的影响使得投资者无法及时了解产品信息，由此而产生的责任和风险由投资者自行承担。</w:t>
      </w:r>
      <w:r>
        <w:rPr>
          <w:rFonts w:ascii="宋体" w:hAnsi="宋体" w:cs="仿宋_GB2312"/>
          <w:kern w:val="0"/>
          <w:sz w:val="18"/>
          <w:szCs w:val="18"/>
        </w:rPr>
        <w:t>如投资者预留的有效联系方式变更但未及时告知</w:t>
      </w:r>
      <w:r>
        <w:rPr>
          <w:rFonts w:hint="eastAsia" w:ascii="宋体" w:hAnsi="宋体" w:cs="仿宋_GB2312"/>
          <w:kern w:val="0"/>
          <w:sz w:val="18"/>
          <w:szCs w:val="18"/>
        </w:rPr>
        <w:t>产品管理人</w:t>
      </w:r>
      <w:r>
        <w:rPr>
          <w:rFonts w:ascii="宋体" w:hAnsi="宋体" w:cs="仿宋_GB2312"/>
          <w:kern w:val="0"/>
          <w:sz w:val="18"/>
          <w:szCs w:val="18"/>
        </w:rPr>
        <w:t>的，致使在需要联系投资者时无法及时联系并可能会由此影响投资者的投资决策，由此而产生的责任和风险由投资者自行承担。</w:t>
      </w:r>
    </w:p>
    <w:p>
      <w:pPr>
        <w:ind w:firstLine="450" w:firstLineChars="249"/>
        <w:rPr>
          <w:rFonts w:ascii="宋体" w:hAnsi="宋体"/>
          <w:bCs/>
          <w:sz w:val="18"/>
          <w:szCs w:val="18"/>
        </w:rPr>
      </w:pPr>
      <w:r>
        <w:rPr>
          <w:rFonts w:hint="eastAsia" w:ascii="宋体" w:hAnsi="宋体"/>
          <w:b/>
          <w:bCs/>
          <w:sz w:val="18"/>
          <w:szCs w:val="18"/>
        </w:rPr>
        <w:t>9.</w:t>
      </w:r>
      <w:r>
        <w:rPr>
          <w:rFonts w:ascii="宋体" w:hAnsi="宋体"/>
          <w:b/>
          <w:bCs/>
          <w:sz w:val="18"/>
          <w:szCs w:val="18"/>
        </w:rPr>
        <w:t>不可抗力及意外事件风险：</w:t>
      </w:r>
      <w:r>
        <w:rPr>
          <w:rFonts w:hint="eastAsia" w:ascii="宋体" w:hAnsi="宋体"/>
          <w:bCs/>
          <w:sz w:val="18"/>
          <w:szCs w:val="18"/>
        </w:rPr>
        <w:t>因战争、自然灾害、重大政治事件等不可抗力以及其他不可预见的意外事件可能致使理财产品面临损失的风险。</w:t>
      </w:r>
    </w:p>
    <w:p>
      <w:pPr>
        <w:pStyle w:val="58"/>
        <w:ind w:firstLine="426" w:firstLineChars="0"/>
        <w:rPr>
          <w:rFonts w:ascii="宋体" w:hAnsi="宋体"/>
          <w:bCs/>
          <w:sz w:val="18"/>
          <w:szCs w:val="18"/>
        </w:rPr>
      </w:pPr>
      <w:r>
        <w:rPr>
          <w:rFonts w:ascii="宋体" w:hAnsi="宋体"/>
          <w:b/>
          <w:bCs/>
          <w:sz w:val="18"/>
          <w:szCs w:val="18"/>
        </w:rPr>
        <w:t>1</w:t>
      </w:r>
      <w:r>
        <w:rPr>
          <w:rFonts w:hint="eastAsia" w:ascii="宋体" w:hAnsi="宋体"/>
          <w:b/>
          <w:bCs/>
          <w:sz w:val="18"/>
          <w:szCs w:val="18"/>
        </w:rPr>
        <w:t>0.</w:t>
      </w:r>
      <w:r>
        <w:rPr>
          <w:rFonts w:ascii="宋体" w:hAnsi="宋体"/>
          <w:b/>
          <w:bCs/>
          <w:sz w:val="18"/>
          <w:szCs w:val="18"/>
        </w:rPr>
        <w:t>管理人风险：</w:t>
      </w:r>
      <w:r>
        <w:rPr>
          <w:rFonts w:hint="eastAsia" w:ascii="宋体" w:hAnsi="宋体"/>
          <w:bCs/>
          <w:sz w:val="18"/>
          <w:szCs w:val="18"/>
        </w:rPr>
        <w:t>理财产品管理人或理财投资资产相关服务机构受经验、技能等因素的限制，或者上述主体处理事务不当等，可能导致投资者遭受损失。</w:t>
      </w:r>
    </w:p>
    <w:p>
      <w:pPr>
        <w:pStyle w:val="58"/>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1.理财产品不成立风险：</w:t>
      </w:r>
      <w:r>
        <w:rPr>
          <w:rFonts w:hint="eastAsia" w:ascii="宋体" w:hAnsi="宋体"/>
          <w:bCs/>
          <w:sz w:val="18"/>
          <w:szCs w:val="18"/>
        </w:rPr>
        <w:t>如自本产品开始募集至认购期结束认购总金额未达到产品最小成立规模（如有约定），或</w:t>
      </w:r>
      <w:r>
        <w:rPr>
          <w:rFonts w:ascii="宋体" w:hAnsi="宋体"/>
          <w:bCs/>
          <w:sz w:val="18"/>
          <w:szCs w:val="18"/>
        </w:rPr>
        <w:t>融资人取消融资计划，</w:t>
      </w:r>
      <w:r>
        <w:rPr>
          <w:rFonts w:hint="eastAsia" w:ascii="宋体" w:hAnsi="宋体"/>
          <w:bCs/>
          <w:sz w:val="18"/>
          <w:szCs w:val="18"/>
        </w:rPr>
        <w:t>或市场发生剧烈波动，或不可抗力，或相关法律法规以及监管部门规定等原因，经</w:t>
      </w:r>
      <w:r>
        <w:rPr>
          <w:rFonts w:hint="eastAsia" w:ascii="宋体" w:hAnsi="宋体" w:cs="仿宋_GB2312"/>
          <w:kern w:val="0"/>
          <w:sz w:val="18"/>
          <w:szCs w:val="18"/>
        </w:rPr>
        <w:t>产品管理人</w:t>
      </w:r>
      <w:r>
        <w:rPr>
          <w:rFonts w:hint="eastAsia" w:ascii="宋体" w:hAnsi="宋体"/>
          <w:bCs/>
          <w:sz w:val="18"/>
          <w:szCs w:val="18"/>
        </w:rPr>
        <w:t>谨慎合理判断难以按照理财产品销售文件有关规定向投资者提供本产品，</w:t>
      </w:r>
      <w:r>
        <w:rPr>
          <w:rFonts w:hint="eastAsia" w:ascii="宋体" w:hAnsi="宋体" w:cs="仿宋_GB2312"/>
          <w:kern w:val="0"/>
          <w:sz w:val="18"/>
          <w:szCs w:val="18"/>
        </w:rPr>
        <w:t>产品管理人</w:t>
      </w:r>
      <w:r>
        <w:rPr>
          <w:rFonts w:hint="eastAsia" w:ascii="宋体" w:hAnsi="宋体"/>
          <w:bCs/>
          <w:sz w:val="18"/>
          <w:szCs w:val="18"/>
        </w:rPr>
        <w:t>有权宣布本产品不成立并</w:t>
      </w:r>
      <w:r>
        <w:rPr>
          <w:rFonts w:ascii="宋体" w:hAnsi="宋体"/>
          <w:bCs/>
          <w:sz w:val="18"/>
          <w:szCs w:val="18"/>
        </w:rPr>
        <w:t>及时返还投资者资金</w:t>
      </w:r>
      <w:r>
        <w:rPr>
          <w:rFonts w:hint="eastAsia" w:ascii="宋体" w:hAnsi="宋体"/>
          <w:bCs/>
          <w:sz w:val="18"/>
          <w:szCs w:val="18"/>
        </w:rPr>
        <w:t>，投资者将承担投资本产品不成立的风险。</w:t>
      </w:r>
    </w:p>
    <w:p>
      <w:pPr>
        <w:pStyle w:val="58"/>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2.</w:t>
      </w:r>
      <w:r>
        <w:rPr>
          <w:rFonts w:ascii="宋体" w:hAnsi="宋体"/>
          <w:b/>
          <w:bCs/>
          <w:sz w:val="18"/>
          <w:szCs w:val="18"/>
        </w:rPr>
        <w:t>操作风险：</w:t>
      </w:r>
      <w:r>
        <w:rPr>
          <w:rFonts w:hint="eastAsia" w:ascii="宋体" w:hAnsi="宋体"/>
          <w:bCs/>
          <w:sz w:val="18"/>
          <w:szCs w:val="18"/>
        </w:rPr>
        <w:t>由于产品管理人的</w:t>
      </w:r>
      <w:r>
        <w:rPr>
          <w:rFonts w:ascii="宋体" w:hAnsi="宋体"/>
          <w:bCs/>
          <w:sz w:val="18"/>
          <w:szCs w:val="18"/>
        </w:rPr>
        <w:t>不完善或有问题的内部程序、员工和信息科技系统，以及外部事件所造成损失的风险。</w:t>
      </w:r>
    </w:p>
    <w:p>
      <w:pPr>
        <w:pStyle w:val="58"/>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3</w:t>
      </w:r>
      <w:r>
        <w:rPr>
          <w:rFonts w:ascii="宋体" w:hAnsi="宋体"/>
          <w:b/>
          <w:bCs/>
          <w:sz w:val="18"/>
          <w:szCs w:val="18"/>
        </w:rPr>
        <w:t>.估值</w:t>
      </w:r>
      <w:r>
        <w:rPr>
          <w:rFonts w:hint="eastAsia" w:ascii="宋体" w:hAnsi="宋体"/>
          <w:b/>
          <w:bCs/>
          <w:sz w:val="18"/>
          <w:szCs w:val="18"/>
        </w:rPr>
        <w:t>波动</w:t>
      </w:r>
      <w:r>
        <w:rPr>
          <w:rFonts w:ascii="宋体" w:hAnsi="宋体"/>
          <w:b/>
          <w:bCs/>
          <w:sz w:val="18"/>
          <w:szCs w:val="18"/>
        </w:rPr>
        <w:t>风险：</w:t>
      </w:r>
      <w:r>
        <w:rPr>
          <w:rFonts w:hint="eastAsia" w:asciiTheme="majorEastAsia" w:hAnsiTheme="majorEastAsia" w:eastAsiaTheme="majorEastAsia"/>
          <w:bCs/>
          <w:color w:val="000000" w:themeColor="text1"/>
          <w:sz w:val="18"/>
          <w:szCs w:val="18"/>
          <w14:textFill>
            <w14:solidFill>
              <w14:schemeClr w14:val="tx1"/>
            </w14:solidFill>
          </w14:textFill>
        </w:rPr>
        <w:t>本理财产品可能</w:t>
      </w:r>
      <w:r>
        <w:rPr>
          <w:rFonts w:asciiTheme="majorEastAsia" w:hAnsiTheme="majorEastAsia" w:eastAsiaTheme="majorEastAsia"/>
          <w:bCs/>
          <w:color w:val="000000" w:themeColor="text1"/>
          <w:sz w:val="18"/>
          <w:szCs w:val="18"/>
          <w14:textFill>
            <w14:solidFill>
              <w14:schemeClr w14:val="tx1"/>
            </w14:solidFill>
          </w14:textFill>
        </w:rPr>
        <w:t>投资符合监管</w:t>
      </w:r>
      <w:r>
        <w:rPr>
          <w:rFonts w:hint="eastAsia" w:asciiTheme="majorEastAsia" w:hAnsiTheme="majorEastAsia" w:eastAsiaTheme="majorEastAsia"/>
          <w:bCs/>
          <w:color w:val="000000" w:themeColor="text1"/>
          <w:sz w:val="18"/>
          <w:szCs w:val="18"/>
          <w14:textFill>
            <w14:solidFill>
              <w14:schemeClr w14:val="tx1"/>
            </w14:solidFill>
          </w14:textFill>
        </w:rPr>
        <w:t>要求的资产管理产品（包括但不限于信托计划、</w:t>
      </w:r>
      <w:r>
        <w:rPr>
          <w:rFonts w:hint="eastAsia" w:asciiTheme="majorEastAsia" w:hAnsiTheme="majorEastAsia" w:eastAsiaTheme="majorEastAsia"/>
          <w:bCs/>
          <w:color w:val="000000" w:themeColor="text1"/>
          <w:kern w:val="0"/>
          <w:sz w:val="18"/>
          <w:szCs w:val="18"/>
          <w14:textFill>
            <w14:solidFill>
              <w14:schemeClr w14:val="tx1"/>
            </w14:solidFill>
          </w14:textFill>
        </w:rPr>
        <w:t>公募基金、基金公司或子公司资产管理计划、证券公司资产管理计划、</w:t>
      </w:r>
      <w:r>
        <w:rPr>
          <w:rFonts w:hint="eastAsia" w:asciiTheme="majorEastAsia" w:hAnsiTheme="majorEastAsia" w:eastAsiaTheme="majorEastAsia"/>
          <w:bCs/>
          <w:color w:val="000000" w:themeColor="text1"/>
          <w:sz w:val="18"/>
          <w:szCs w:val="18"/>
          <w14:textFill>
            <w14:solidFill>
              <w14:schemeClr w14:val="tx1"/>
            </w14:solidFill>
          </w14:textFill>
        </w:rPr>
        <w:t>期货资产管理计划、</w:t>
      </w:r>
      <w:r>
        <w:rPr>
          <w:rFonts w:hint="eastAsia" w:asciiTheme="majorEastAsia" w:hAnsiTheme="majorEastAsia" w:eastAsiaTheme="majorEastAsia"/>
          <w:bCs/>
          <w:color w:val="000000" w:themeColor="text1"/>
          <w:kern w:val="0"/>
          <w:sz w:val="18"/>
          <w:szCs w:val="18"/>
          <w14:textFill>
            <w14:solidFill>
              <w14:schemeClr w14:val="tx1"/>
            </w14:solidFill>
          </w14:textFill>
        </w:rPr>
        <w:t>保险资产管理计划</w:t>
      </w:r>
      <w:r>
        <w:rPr>
          <w:rFonts w:hint="eastAsia" w:asciiTheme="majorEastAsia" w:hAnsiTheme="majorEastAsia" w:eastAsiaTheme="majorEastAsia"/>
          <w:bCs/>
          <w:color w:val="000000" w:themeColor="text1"/>
          <w:sz w:val="18"/>
          <w:szCs w:val="18"/>
          <w14:textFill>
            <w14:solidFill>
              <w14:schemeClr w14:val="tx1"/>
            </w14:solidFill>
          </w14:textFill>
        </w:rPr>
        <w:t>等），前述资产管理产品的管理人可能收取</w:t>
      </w:r>
      <w:r>
        <w:rPr>
          <w:rFonts w:asciiTheme="majorEastAsia" w:hAnsiTheme="majorEastAsia" w:eastAsiaTheme="majorEastAsia"/>
          <w:bCs/>
          <w:color w:val="000000" w:themeColor="text1"/>
          <w:sz w:val="18"/>
          <w:szCs w:val="18"/>
          <w14:textFill>
            <w14:solidFill>
              <w14:schemeClr w14:val="tx1"/>
            </w14:solidFill>
          </w14:textFill>
        </w:rPr>
        <w:t>业绩报酬，</w:t>
      </w:r>
      <w:r>
        <w:rPr>
          <w:rFonts w:hint="eastAsia" w:asciiTheme="majorEastAsia" w:hAnsiTheme="majorEastAsia" w:eastAsiaTheme="majorEastAsia"/>
          <w:bCs/>
          <w:color w:val="000000" w:themeColor="text1"/>
          <w:sz w:val="18"/>
          <w:szCs w:val="18"/>
          <w14:textFill>
            <w14:solidFill>
              <w14:schemeClr w14:val="tx1"/>
            </w14:solidFill>
          </w14:textFill>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Theme="majorEastAsia" w:hAnsiTheme="majorEastAsia" w:eastAsiaTheme="majorEastAsia"/>
          <w:bCs/>
          <w:color w:val="000000" w:themeColor="text1"/>
          <w:sz w:val="18"/>
          <w:szCs w:val="18"/>
          <w14:textFill>
            <w14:solidFill>
              <w14:schemeClr w14:val="tx1"/>
            </w14:solidFill>
          </w14:textFill>
        </w:rPr>
        <w:t>存在下跌的风险。</w:t>
      </w:r>
    </w:p>
    <w:p>
      <w:pPr>
        <w:pStyle w:val="58"/>
        <w:ind w:firstLineChars="0"/>
        <w:rPr>
          <w:rFonts w:ascii="宋体" w:hAnsi="宋体"/>
          <w:bCs/>
          <w:sz w:val="18"/>
          <w:szCs w:val="18"/>
        </w:rPr>
      </w:pPr>
      <w:r>
        <w:rPr>
          <w:rFonts w:ascii="宋体" w:hAnsi="宋体"/>
          <w:b/>
          <w:bCs/>
          <w:sz w:val="18"/>
          <w:szCs w:val="18"/>
        </w:rPr>
        <w:t>1</w:t>
      </w:r>
      <w:r>
        <w:rPr>
          <w:rFonts w:hint="eastAsia" w:ascii="宋体" w:hAnsi="宋体"/>
          <w:b/>
          <w:bCs/>
          <w:sz w:val="18"/>
          <w:szCs w:val="18"/>
        </w:rPr>
        <w:t>4.</w:t>
      </w:r>
      <w:r>
        <w:rPr>
          <w:rFonts w:ascii="宋体" w:hAnsi="宋体"/>
          <w:b/>
          <w:bCs/>
          <w:sz w:val="18"/>
          <w:szCs w:val="18"/>
        </w:rPr>
        <w:t>估值差错风险：</w:t>
      </w:r>
      <w:r>
        <w:rPr>
          <w:rFonts w:hint="eastAsia" w:ascii="宋体" w:hAnsi="宋体"/>
          <w:bCs/>
          <w:sz w:val="18"/>
          <w:szCs w:val="18"/>
        </w:rPr>
        <w:t>理财投资基础资产时涉及对资产估值不准确、及时的，理财产品管理人及产品托管人对理财产品费用计提出现错误，将导致本产品估值差错，可能影响</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bCs/>
          <w:sz w:val="18"/>
          <w:szCs w:val="18"/>
        </w:rPr>
        <w:t>。</w:t>
      </w:r>
    </w:p>
    <w:p>
      <w:pPr>
        <w:pStyle w:val="58"/>
        <w:ind w:firstLineChars="0"/>
        <w:rPr>
          <w:rFonts w:ascii="黑体" w:hAnsi="黑体" w:eastAsia="黑体"/>
          <w:bCs/>
          <w:sz w:val="18"/>
          <w:szCs w:val="18"/>
          <w:u w:val="single"/>
        </w:rPr>
      </w:pPr>
      <w:r>
        <w:rPr>
          <w:rFonts w:ascii="宋体" w:hAnsi="宋体"/>
          <w:b/>
          <w:bCs/>
          <w:sz w:val="18"/>
          <w:szCs w:val="18"/>
        </w:rPr>
        <w:t>1</w:t>
      </w:r>
      <w:r>
        <w:rPr>
          <w:rFonts w:hint="eastAsia" w:ascii="宋体" w:hAnsi="宋体"/>
          <w:b/>
          <w:bCs/>
          <w:sz w:val="18"/>
          <w:szCs w:val="18"/>
        </w:rPr>
        <w:t>5.</w:t>
      </w:r>
      <w:r>
        <w:rPr>
          <w:rFonts w:hint="eastAsia" w:hAnsi="宋体"/>
          <w:sz w:val="18"/>
          <w:szCs w:val="18"/>
        </w:rPr>
        <w:t>★</w:t>
      </w:r>
      <w:r>
        <w:rPr>
          <w:rFonts w:hint="eastAsia" w:ascii="宋体" w:hAnsi="宋体"/>
          <w:b/>
          <w:bCs/>
          <w:sz w:val="18"/>
          <w:szCs w:val="18"/>
        </w:rPr>
        <w:t>代销风险：</w:t>
      </w:r>
      <w:r>
        <w:rPr>
          <w:rFonts w:hint="eastAsia" w:ascii="黑体" w:hAnsi="黑体" w:eastAsia="黑体"/>
          <w:bCs/>
          <w:sz w:val="18"/>
          <w:szCs w:val="18"/>
          <w:u w:val="single"/>
        </w:rPr>
        <w:t>本理财产品若通过非产品管理人自有渠道进行销售的属于代理销售，认购</w:t>
      </w:r>
      <w:r>
        <w:rPr>
          <w:rFonts w:ascii="黑体" w:hAnsi="黑体" w:eastAsia="黑体"/>
          <w:bCs/>
          <w:sz w:val="18"/>
          <w:szCs w:val="18"/>
          <w:u w:val="single"/>
        </w:rPr>
        <w:t>/</w:t>
      </w:r>
      <w:r>
        <w:rPr>
          <w:rFonts w:hint="eastAsia" w:ascii="黑体" w:hAnsi="黑体" w:eastAsia="黑体"/>
          <w:bCs/>
          <w:sz w:val="18"/>
          <w:szCs w:val="18"/>
          <w:u w:val="single"/>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bCs/>
          <w:sz w:val="18"/>
          <w:szCs w:val="18"/>
          <w:u w:val="single"/>
        </w:rPr>
        <w:t>利益</w:t>
      </w:r>
      <w:r>
        <w:rPr>
          <w:rFonts w:hint="eastAsia" w:ascii="黑体" w:hAnsi="黑体" w:eastAsia="黑体"/>
          <w:bCs/>
          <w:sz w:val="18"/>
          <w:szCs w:val="18"/>
          <w:u w:val="single"/>
        </w:rPr>
        <w:t>。不同代理销售机构的销售渠道，其</w:t>
      </w:r>
      <w:r>
        <w:rPr>
          <w:rFonts w:ascii="黑体" w:hAnsi="黑体" w:eastAsia="黑体"/>
          <w:bCs/>
          <w:sz w:val="18"/>
          <w:szCs w:val="18"/>
          <w:u w:val="single"/>
        </w:rPr>
        <w:t>申购</w:t>
      </w:r>
      <w:r>
        <w:rPr>
          <w:rFonts w:hint="eastAsia" w:ascii="黑体" w:hAnsi="黑体" w:eastAsia="黑体"/>
          <w:bCs/>
          <w:sz w:val="18"/>
          <w:szCs w:val="18"/>
          <w:u w:val="single"/>
        </w:rPr>
        <w:t>/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不免除因代理销售机构过错依法应由代理销售机构承担的责任。</w:t>
      </w:r>
    </w:p>
    <w:p>
      <w:pPr>
        <w:pStyle w:val="58"/>
        <w:ind w:firstLineChars="0"/>
        <w:rPr>
          <w:rFonts w:ascii="黑体" w:hAnsi="黑体" w:eastAsia="黑体" w:cs="仿宋_GB2312"/>
          <w:kern w:val="0"/>
          <w:sz w:val="18"/>
          <w:szCs w:val="18"/>
        </w:rPr>
      </w:pPr>
      <w:r>
        <w:rPr>
          <w:rFonts w:ascii="黑体" w:hAnsi="黑体" w:eastAsia="黑体"/>
          <w:b/>
          <w:bCs/>
          <w:sz w:val="18"/>
          <w:szCs w:val="18"/>
          <w:u w:val="single"/>
        </w:rPr>
        <w:t>1</w:t>
      </w:r>
      <w:r>
        <w:rPr>
          <w:rFonts w:hint="eastAsia" w:ascii="黑体" w:hAnsi="黑体" w:eastAsia="黑体"/>
          <w:b/>
          <w:bCs/>
          <w:sz w:val="18"/>
          <w:szCs w:val="18"/>
          <w:u w:val="single"/>
        </w:rPr>
        <w:t>6</w:t>
      </w:r>
      <w:r>
        <w:rPr>
          <w:rFonts w:ascii="黑体" w:hAnsi="黑体" w:eastAsia="黑体"/>
          <w:b/>
          <w:bCs/>
          <w:sz w:val="18"/>
          <w:szCs w:val="18"/>
          <w:u w:val="single"/>
        </w:rPr>
        <w:t>.</w:t>
      </w:r>
      <w:r>
        <w:rPr>
          <w:rFonts w:hint="eastAsia" w:ascii="黑体" w:hAnsi="黑体" w:eastAsia="黑体" w:cs="仿宋_GB2312"/>
          <w:b/>
          <w:kern w:val="0"/>
          <w:sz w:val="18"/>
          <w:szCs w:val="18"/>
        </w:rPr>
        <w:t>★不同理财产品份额类别存在差异的风险：</w:t>
      </w:r>
      <w:r>
        <w:rPr>
          <w:rFonts w:hint="eastAsia" w:ascii="黑体" w:hAnsi="黑体" w:eastAsia="黑体" w:cs="仿宋_GB2312"/>
          <w:kern w:val="0"/>
          <w:sz w:val="18"/>
          <w:szCs w:val="18"/>
        </w:rPr>
        <w:t>理财产品管理人可根据投资者购买理财产品的金额、销售</w:t>
      </w:r>
      <w:r>
        <w:rPr>
          <w:rFonts w:ascii="黑体" w:hAnsi="黑体" w:eastAsia="黑体" w:cs="仿宋_GB2312"/>
          <w:kern w:val="0"/>
          <w:sz w:val="18"/>
          <w:szCs w:val="18"/>
        </w:rPr>
        <w:t>渠道</w:t>
      </w:r>
      <w:r>
        <w:rPr>
          <w:rFonts w:hint="eastAsia" w:ascii="黑体" w:hAnsi="黑体" w:eastAsia="黑体" w:cs="仿宋_GB2312"/>
          <w:kern w:val="0"/>
          <w:sz w:val="18"/>
          <w:szCs w:val="18"/>
        </w:rPr>
        <w:t>等因素，对理财投资者所持有的理财产品设置不同理财产品份额类别。不同类别的理财产品份额在销售名称、收费方式</w:t>
      </w:r>
      <w:r>
        <w:rPr>
          <w:rFonts w:ascii="黑体" w:hAnsi="黑体" w:eastAsia="黑体" w:cs="仿宋_GB2312"/>
          <w:kern w:val="0"/>
          <w:sz w:val="18"/>
          <w:szCs w:val="18"/>
        </w:rPr>
        <w:t>、</w:t>
      </w:r>
      <w:r>
        <w:rPr>
          <w:rFonts w:hint="eastAsia" w:ascii="黑体" w:hAnsi="黑体" w:eastAsia="黑体" w:cs="仿宋_GB2312"/>
          <w:kern w:val="0"/>
          <w:sz w:val="18"/>
          <w:szCs w:val="18"/>
        </w:rPr>
        <w:t>销售服务费、销售代码、销售对象、销售起点金额（认购、申购的</w:t>
      </w:r>
      <w:r>
        <w:rPr>
          <w:rFonts w:ascii="黑体" w:hAnsi="黑体" w:eastAsia="黑体" w:cs="仿宋_GB2312"/>
          <w:kern w:val="0"/>
          <w:sz w:val="18"/>
          <w:szCs w:val="18"/>
        </w:rPr>
        <w:t>起点金额</w:t>
      </w:r>
      <w:r>
        <w:rPr>
          <w:rFonts w:hint="eastAsia" w:ascii="黑体" w:hAnsi="黑体" w:eastAsia="黑体" w:cs="仿宋_GB2312"/>
          <w:kern w:val="0"/>
          <w:sz w:val="18"/>
          <w:szCs w:val="18"/>
        </w:rPr>
        <w:t>）、投资者</w:t>
      </w:r>
      <w:r>
        <w:rPr>
          <w:rFonts w:ascii="黑体" w:hAnsi="黑体" w:eastAsia="黑体" w:cs="仿宋_GB2312"/>
          <w:kern w:val="0"/>
          <w:sz w:val="18"/>
          <w:szCs w:val="18"/>
        </w:rPr>
        <w:t>认购申购和</w:t>
      </w:r>
      <w:r>
        <w:rPr>
          <w:rFonts w:hint="eastAsia" w:ascii="黑体" w:hAnsi="黑体" w:eastAsia="黑体" w:cs="仿宋_GB2312"/>
          <w:kern w:val="0"/>
          <w:sz w:val="18"/>
          <w:szCs w:val="18"/>
        </w:rPr>
        <w:t>赎回的数量限制、投资者</w:t>
      </w:r>
      <w:r>
        <w:rPr>
          <w:rFonts w:ascii="黑体" w:hAnsi="黑体" w:eastAsia="黑体" w:cs="仿宋_GB2312"/>
          <w:kern w:val="0"/>
          <w:sz w:val="18"/>
          <w:szCs w:val="18"/>
        </w:rPr>
        <w:t>持有本产品的最高限额</w:t>
      </w:r>
      <w:r>
        <w:rPr>
          <w:rFonts w:hint="eastAsia" w:ascii="黑体" w:hAnsi="黑体" w:eastAsia="黑体" w:cs="仿宋_GB2312"/>
          <w:kern w:val="0"/>
          <w:sz w:val="18"/>
          <w:szCs w:val="18"/>
        </w:rPr>
        <w:t>最低</w:t>
      </w:r>
      <w:r>
        <w:rPr>
          <w:rFonts w:ascii="黑体" w:hAnsi="黑体" w:eastAsia="黑体" w:cs="仿宋_GB2312"/>
          <w:kern w:val="0"/>
          <w:sz w:val="18"/>
          <w:szCs w:val="18"/>
        </w:rPr>
        <w:t>限额、</w:t>
      </w:r>
      <w:r>
        <w:rPr>
          <w:rFonts w:hint="eastAsia" w:ascii="黑体" w:hAnsi="黑体" w:eastAsia="黑体" w:cs="仿宋_GB2312"/>
          <w:kern w:val="0"/>
          <w:sz w:val="18"/>
          <w:szCs w:val="18"/>
        </w:rPr>
        <w:t>计算和公告产品份额净值方面存在差异。</w:t>
      </w:r>
    </w:p>
    <w:p>
      <w:pPr>
        <w:pStyle w:val="58"/>
        <w:ind w:firstLineChars="0"/>
        <w:rPr>
          <w:rFonts w:ascii="黑体" w:hAnsi="黑体" w:eastAsia="黑体"/>
          <w:sz w:val="18"/>
          <w:szCs w:val="18"/>
          <w:u w:val="single"/>
        </w:rPr>
      </w:pPr>
      <w:r>
        <w:rPr>
          <w:rFonts w:ascii="黑体" w:hAnsi="黑体" w:eastAsia="黑体"/>
          <w:b/>
          <w:bCs/>
          <w:sz w:val="18"/>
          <w:szCs w:val="18"/>
          <w:u w:val="single"/>
        </w:rPr>
        <w:t>1</w:t>
      </w:r>
      <w:r>
        <w:rPr>
          <w:rFonts w:hint="eastAsia" w:ascii="黑体" w:hAnsi="黑体" w:eastAsia="黑体"/>
          <w:b/>
          <w:bCs/>
          <w:sz w:val="18"/>
          <w:szCs w:val="18"/>
          <w:u w:val="single"/>
        </w:rPr>
        <w:t>7</w:t>
      </w:r>
      <w:r>
        <w:rPr>
          <w:rFonts w:ascii="黑体" w:hAnsi="黑体" w:eastAsia="黑体"/>
          <w:b/>
          <w:bCs/>
          <w:sz w:val="18"/>
          <w:szCs w:val="18"/>
          <w:u w:val="single"/>
        </w:rPr>
        <w:t>.</w:t>
      </w:r>
      <w:r>
        <w:rPr>
          <w:rFonts w:hint="eastAsia" w:ascii="黑体" w:hAnsi="黑体" w:eastAsia="黑体"/>
          <w:b/>
          <w:bCs/>
          <w:sz w:val="18"/>
          <w:szCs w:val="18"/>
          <w:u w:val="single"/>
        </w:rPr>
        <w:t>关联交易风险：</w:t>
      </w:r>
      <w:r>
        <w:rPr>
          <w:rFonts w:hint="eastAsia" w:ascii="黑体" w:hAnsi="黑体" w:eastAsia="黑体"/>
          <w:sz w:val="18"/>
          <w:szCs w:val="18"/>
          <w:u w:val="single"/>
        </w:rPr>
        <w:t>若本产品的销售机构为兴业银行股份有限公司（以下简称“兴业银行”），鉴于兴业银行是产品管理人的关联方，尽管兴业银行已建立健全关联方产品销售管理制度，但上述关联</w:t>
      </w:r>
      <w:r>
        <w:rPr>
          <w:rFonts w:ascii="黑体" w:hAnsi="黑体" w:eastAsia="黑体"/>
          <w:sz w:val="18"/>
          <w:szCs w:val="18"/>
          <w:u w:val="single"/>
        </w:rPr>
        <w:t>关系</w:t>
      </w:r>
      <w:r>
        <w:rPr>
          <w:rFonts w:hint="eastAsia" w:ascii="黑体" w:hAnsi="黑体" w:eastAsia="黑体"/>
          <w:sz w:val="18"/>
          <w:szCs w:val="18"/>
          <w:u w:val="single"/>
        </w:rPr>
        <w:t>仍可能产生</w:t>
      </w:r>
      <w:r>
        <w:rPr>
          <w:rFonts w:ascii="黑体" w:hAnsi="黑体" w:eastAsia="黑体"/>
          <w:sz w:val="18"/>
          <w:szCs w:val="18"/>
          <w:u w:val="single"/>
        </w:rPr>
        <w:t>不利影响和投资</w:t>
      </w:r>
      <w:r>
        <w:rPr>
          <w:rFonts w:hint="eastAsia" w:ascii="黑体" w:hAnsi="黑体" w:eastAsia="黑体"/>
          <w:sz w:val="18"/>
          <w:szCs w:val="18"/>
          <w:u w:val="single"/>
        </w:rPr>
        <w:t>风险，进而可能影响投资者的利益。</w:t>
      </w:r>
    </w:p>
    <w:p>
      <w:pPr>
        <w:autoSpaceDE w:val="0"/>
        <w:autoSpaceDN w:val="0"/>
        <w:adjustRightInd w:val="0"/>
        <w:ind w:firstLine="420"/>
        <w:jc w:val="left"/>
        <w:rPr>
          <w:rFonts w:ascii="黑体" w:hAnsi="黑体" w:eastAsia="黑体"/>
          <w:sz w:val="18"/>
          <w:szCs w:val="18"/>
        </w:rPr>
      </w:pPr>
      <w:r>
        <w:rPr>
          <w:rFonts w:hint="eastAsia" w:ascii="黑体" w:hAnsi="黑体" w:eastAsia="黑体" w:cs="仿宋_GB2312"/>
          <w:kern w:val="0"/>
          <w:sz w:val="18"/>
          <w:szCs w:val="18"/>
        </w:rPr>
        <w:t>（</w:t>
      </w:r>
      <w:r>
        <w:rPr>
          <w:rFonts w:ascii="黑体" w:hAnsi="黑体" w:eastAsia="黑体" w:cs="仿宋_GB2312"/>
          <w:kern w:val="0"/>
          <w:sz w:val="18"/>
          <w:szCs w:val="18"/>
        </w:rPr>
        <w:t>三</w:t>
      </w:r>
      <w:r>
        <w:rPr>
          <w:rFonts w:hint="eastAsia" w:ascii="黑体" w:hAnsi="黑体" w:eastAsia="黑体" w:cs="仿宋_GB2312"/>
          <w:kern w:val="0"/>
          <w:sz w:val="18"/>
          <w:szCs w:val="18"/>
        </w:rPr>
        <w:t>）</w:t>
      </w:r>
      <w:r>
        <w:rPr>
          <w:rFonts w:hint="eastAsia" w:hAnsi="宋体"/>
          <w:sz w:val="18"/>
          <w:szCs w:val="18"/>
        </w:rPr>
        <w:t>★</w:t>
      </w:r>
      <w:r>
        <w:rPr>
          <w:rFonts w:hint="eastAsia" w:ascii="黑体" w:hAnsi="黑体" w:eastAsia="黑体" w:cs="仿宋_GB2312"/>
          <w:kern w:val="0"/>
          <w:sz w:val="18"/>
          <w:szCs w:val="18"/>
        </w:rPr>
        <w:t>最不利投资情形下的投资结果示例：</w:t>
      </w:r>
      <w:r>
        <w:rPr>
          <w:rFonts w:hint="eastAsia" w:ascii="黑体" w:hAnsi="黑体" w:eastAsia="黑体"/>
          <w:bCs/>
          <w:sz w:val="18"/>
          <w:szCs w:val="18"/>
        </w:rPr>
        <w:t>产品管理人对本产品的理财本金和收益不提供保证承诺，</w:t>
      </w:r>
      <w:r>
        <w:rPr>
          <w:rFonts w:hint="eastAsia" w:ascii="黑体" w:hAnsi="黑体" w:eastAsia="黑体"/>
          <w:sz w:val="18"/>
          <w:szCs w:val="18"/>
        </w:rPr>
        <w:t>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autoSpaceDE w:val="0"/>
        <w:autoSpaceDN w:val="0"/>
        <w:adjustRightInd w:val="0"/>
        <w:ind w:firstLine="420"/>
        <w:jc w:val="left"/>
        <w:rPr>
          <w:rFonts w:ascii="黑体" w:hAnsi="黑体" w:eastAsia="黑体" w:cs="仿宋_GB2312"/>
          <w:kern w:val="0"/>
          <w:sz w:val="18"/>
          <w:szCs w:val="18"/>
        </w:rPr>
      </w:pPr>
      <w:r>
        <w:rPr>
          <w:rFonts w:hint="eastAsia" w:ascii="宋体"/>
          <w:b/>
          <w:bCs/>
          <w:color w:val="000000"/>
          <w:kern w:val="0"/>
          <w:sz w:val="18"/>
          <w:szCs w:val="18"/>
        </w:rPr>
        <w:t>五、【投资者适用】</w:t>
      </w:r>
      <w:r>
        <w:rPr>
          <w:rFonts w:hint="eastAsia" w:ascii="宋体" w:hAnsi="宋体" w:cs="仿宋_GB2312"/>
          <w:kern w:val="0"/>
          <w:sz w:val="18"/>
          <w:szCs w:val="18"/>
        </w:rPr>
        <w:t>《投资者风险承受能力评估问卷》用于评估投资者对金融工具及投资目标的相关风险的态度。投资者可根据评估结果确定所属投资者类型，购买适合的理财产品。</w:t>
      </w:r>
      <w:r>
        <w:rPr>
          <w:rFonts w:hint="eastAsia" w:ascii="黑体" w:hAnsi="黑体" w:eastAsia="黑体" w:cs="仿宋_GB2312"/>
          <w:kern w:val="0"/>
          <w:sz w:val="18"/>
          <w:szCs w:val="18"/>
        </w:rPr>
        <w:t>如影响您风险承受能力的因素发生变化，请您及时重新完成风险承受能力评估。</w:t>
      </w:r>
    </w:p>
    <w:p>
      <w:pPr>
        <w:ind w:left="540"/>
        <w:jc w:val="right"/>
        <w:rPr>
          <w:rFonts w:ascii="宋体" w:hAnsi="宋体"/>
          <w:sz w:val="18"/>
          <w:szCs w:val="18"/>
        </w:rPr>
      </w:pPr>
    </w:p>
    <w:p>
      <w:pPr>
        <w:wordWrap w:val="0"/>
        <w:ind w:left="540"/>
        <w:jc w:val="right"/>
        <w:rPr>
          <w:rFonts w:ascii="宋体" w:hAnsi="宋体"/>
          <w:sz w:val="18"/>
          <w:szCs w:val="18"/>
        </w:rPr>
      </w:pPr>
      <w:r>
        <w:rPr>
          <w:rFonts w:hint="eastAsia" w:ascii="宋体" w:hAnsi="宋体"/>
          <w:sz w:val="18"/>
          <w:szCs w:val="18"/>
        </w:rPr>
        <w:t>风险揭示方：产品管理人</w:t>
      </w:r>
      <w:r>
        <w:rPr>
          <w:rFonts w:ascii="宋体" w:hAnsi="宋体"/>
          <w:sz w:val="18"/>
          <w:szCs w:val="18"/>
        </w:rPr>
        <w:t xml:space="preserve"> (</w:t>
      </w:r>
      <w:r>
        <w:rPr>
          <w:rFonts w:hint="eastAsia" w:ascii="宋体" w:hAnsi="宋体"/>
          <w:sz w:val="18"/>
          <w:szCs w:val="18"/>
        </w:rPr>
        <w:t>兴银理财有限责任公司</w:t>
      </w:r>
      <w:r>
        <w:rPr>
          <w:rFonts w:ascii="宋体" w:hAnsi="宋体"/>
          <w:sz w:val="18"/>
          <w:szCs w:val="18"/>
        </w:rPr>
        <w:t>)</w:t>
      </w:r>
    </w:p>
    <w:p>
      <w:pPr>
        <w:wordWrap w:val="0"/>
        <w:ind w:left="540"/>
        <w:jc w:val="right"/>
        <w:rPr>
          <w:rFonts w:ascii="宋体" w:hAnsi="宋体"/>
          <w:sz w:val="18"/>
          <w:szCs w:val="18"/>
        </w:rPr>
      </w:pPr>
      <w:r>
        <w:rPr>
          <w:rFonts w:hint="eastAsia" w:ascii="宋体" w:hAnsi="宋体"/>
          <w:sz w:val="18"/>
          <w:szCs w:val="18"/>
        </w:rPr>
        <w:t>销售机构（【</w:t>
      </w:r>
      <w:r>
        <w:rPr>
          <w:rFonts w:hint="eastAsia" w:ascii="宋体" w:hAnsi="宋体"/>
          <w:sz w:val="18"/>
          <w:szCs w:val="18"/>
          <w:lang w:val="en-US" w:eastAsia="zh-CN"/>
        </w:rPr>
        <w:t>福建省农村信用社联合社</w:t>
      </w:r>
      <w:r>
        <w:rPr>
          <w:rFonts w:hint="eastAsia" w:ascii="宋体" w:hAnsi="宋体"/>
          <w:sz w:val="18"/>
          <w:szCs w:val="18"/>
        </w:rPr>
        <w:t>】）</w:t>
      </w:r>
    </w:p>
    <w:p>
      <w:pPr>
        <w:widowControl/>
        <w:jc w:val="left"/>
        <w:rPr>
          <w:rFonts w:ascii="宋体" w:hAnsi="宋体"/>
          <w:sz w:val="18"/>
          <w:szCs w:val="18"/>
        </w:rPr>
      </w:pPr>
      <w:r>
        <w:rPr>
          <w:rFonts w:ascii="宋体" w:hAnsi="宋体"/>
          <w:sz w:val="18"/>
          <w:szCs w:val="18"/>
        </w:rPr>
        <w:br w:type="page"/>
      </w:r>
    </w:p>
    <w:p>
      <w:pPr>
        <w:ind w:left="540"/>
        <w:jc w:val="right"/>
        <w:rPr>
          <w:rFonts w:ascii="宋体" w:hAnsi="宋体"/>
          <w:sz w:val="18"/>
          <w:szCs w:val="18"/>
        </w:rPr>
      </w:pPr>
    </w:p>
    <w:p>
      <w:pPr>
        <w:ind w:left="540"/>
        <w:jc w:val="right"/>
        <w:rPr>
          <w:rFonts w:ascii="宋体" w:hAnsi="宋体"/>
          <w:sz w:val="18"/>
          <w:szCs w:val="18"/>
        </w:rPr>
      </w:pPr>
    </w:p>
    <w:tbl>
      <w:tblPr>
        <w:tblStyle w:val="25"/>
        <w:tblW w:w="8371" w:type="dxa"/>
        <w:tblInd w:w="108"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71"/>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7" w:hRule="atLeast"/>
        </w:trPr>
        <w:tc>
          <w:tcPr>
            <w:tcW w:w="8371"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b/>
                <w:kern w:val="0"/>
                <w:sz w:val="20"/>
                <w:szCs w:val="21"/>
              </w:rPr>
            </w:pPr>
            <w:r>
              <w:rPr>
                <w:rFonts w:hint="eastAsia" w:ascii="宋体" w:hAnsi="宋体" w:cs="Arial"/>
                <w:b/>
                <w:kern w:val="0"/>
                <w:sz w:val="20"/>
                <w:szCs w:val="21"/>
              </w:rPr>
              <w:t>（适用于个人投资者）</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283" w:hRule="atLeast"/>
        </w:trPr>
        <w:tc>
          <w:tcPr>
            <w:tcW w:w="8371"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人已仔细阅读理财产品销售文件，已完全理解理财产品投资的性质和面临的风险，本人确认产品管理人或销售机构相关业务人员对于理财产品销售文件中限制本人权利、增加本人义务以及有关免除、限制产品管理人责任或产品管理人单方面拥有某些权利的条款已向本人予以说明，本人完全理解并自愿接受。</w:t>
            </w:r>
          </w:p>
          <w:p>
            <w:pPr>
              <w:spacing w:line="280" w:lineRule="atLeast"/>
              <w:jc w:val="left"/>
              <w:rPr>
                <w:rFonts w:ascii="宋体" w:hAnsi="宋体" w:cs="Arial"/>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本人已经阅读风险揭示，愿意承担投资风险。</w:t>
            </w:r>
          </w:p>
          <w:p>
            <w:pPr>
              <w:spacing w:line="280" w:lineRule="atLeast"/>
              <w:jc w:val="left"/>
              <w:rPr>
                <w:rFonts w:ascii="宋体" w:hAnsi="宋体" w:cs="Arial"/>
                <w:kern w:val="0"/>
                <w:sz w:val="18"/>
                <w:szCs w:val="18"/>
              </w:rPr>
            </w:pPr>
          </w:p>
          <w:p>
            <w:pPr>
              <w:spacing w:line="280" w:lineRule="atLeast"/>
              <w:jc w:val="left"/>
              <w:rPr>
                <w:kern w:val="0"/>
                <w:sz w:val="18"/>
                <w:szCs w:val="18"/>
                <w:u w:val="single"/>
              </w:rPr>
            </w:pPr>
            <w:r>
              <w:rPr>
                <w:rFonts w:hint="eastAsia" w:ascii="宋体" w:hAnsi="宋体" w:cs="Arial"/>
                <w:kern w:val="0"/>
                <w:sz w:val="18"/>
                <w:szCs w:val="18"/>
              </w:rPr>
              <w:t>请投资者在此抄录：</w:t>
            </w:r>
          </w:p>
          <w:p>
            <w:pPr>
              <w:spacing w:line="280" w:lineRule="atLeast"/>
              <w:jc w:val="left"/>
              <w:rPr>
                <w:kern w:val="0"/>
                <w:sz w:val="18"/>
                <w:szCs w:val="18"/>
                <w:u w:val="single"/>
              </w:rPr>
            </w:pPr>
          </w:p>
          <w:p>
            <w:pPr>
              <w:spacing w:line="280" w:lineRule="atLeast"/>
              <w:ind w:right="720"/>
              <w:jc w:val="left"/>
              <w:rPr>
                <w:rFonts w:ascii="宋体" w:hAnsi="宋体" w:cs="Arial"/>
                <w:kern w:val="0"/>
                <w:sz w:val="18"/>
                <w:szCs w:val="18"/>
                <w:u w:val="single"/>
              </w:rPr>
            </w:pPr>
            <w:r>
              <w:rPr>
                <w:rFonts w:hint="eastAsia" w:ascii="宋体" w:hAnsi="宋体" w:cs="Arial"/>
                <w:kern w:val="0"/>
                <w:sz w:val="18"/>
                <w:szCs w:val="18"/>
              </w:rPr>
              <w:t>投资者签字：</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ind w:left="4200" w:firstLine="1080" w:firstLineChars="6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b/>
                <w:kern w:val="0"/>
                <w:sz w:val="20"/>
                <w:szCs w:val="20"/>
              </w:rPr>
              <w:t>（本风险揭示书共有三份签署文本，第一联销售机构留存，第二联投资者留存，第三联产品管理人留存。）</w:t>
            </w:r>
          </w:p>
          <w:p>
            <w:pPr>
              <w:spacing w:line="280" w:lineRule="atLeast"/>
              <w:jc w:val="right"/>
              <w:rPr>
                <w:rFonts w:ascii="宋体" w:hAnsi="宋体"/>
                <w:kern w:val="0"/>
                <w:sz w:val="18"/>
                <w:szCs w:val="18"/>
              </w:rPr>
            </w:pPr>
          </w:p>
        </w:tc>
      </w:tr>
    </w:tbl>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autoSpaceDE w:val="0"/>
        <w:autoSpaceDN w:val="0"/>
        <w:adjustRightInd w:val="0"/>
        <w:spacing w:line="360" w:lineRule="auto"/>
        <w:ind w:firstLine="420"/>
        <w:jc w:val="left"/>
        <w:rPr>
          <w:rFonts w:ascii="宋体" w:hAnsi="宋体"/>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rPr>
          <w:rFonts w:ascii="宋体" w:hAnsi="宋体" w:cs="Arial"/>
          <w:sz w:val="24"/>
        </w:rPr>
      </w:pPr>
    </w:p>
    <w:p>
      <w:pPr>
        <w:widowControl/>
        <w:jc w:val="left"/>
        <w:rPr>
          <w:rFonts w:ascii="宋体" w:hAnsi="宋体" w:cs="Arial"/>
          <w:sz w:val="24"/>
        </w:rPr>
      </w:pPr>
      <w:r>
        <w:rPr>
          <w:rFonts w:ascii="宋体" w:hAnsi="宋体" w:cs="Arial"/>
          <w:sz w:val="24"/>
        </w:rPr>
        <w:br w:type="page"/>
      </w:r>
    </w:p>
    <w:tbl>
      <w:tblPr>
        <w:tblStyle w:val="25"/>
        <w:tblW w:w="8413"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41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3" w:hRule="atLeast"/>
        </w:trPr>
        <w:tc>
          <w:tcPr>
            <w:tcW w:w="8413"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w:t>
            </w:r>
            <w:r>
              <w:rPr>
                <w:rFonts w:ascii="宋体" w:hAnsi="宋体" w:cs="Arial"/>
                <w:b/>
                <w:kern w:val="0"/>
                <w:sz w:val="20"/>
                <w:szCs w:val="21"/>
              </w:rPr>
              <w:t>一般机构客户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7355" w:hRule="atLeast"/>
        </w:trPr>
        <w:tc>
          <w:tcPr>
            <w:tcW w:w="8413"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依照</w:t>
            </w:r>
            <w:r>
              <w:rPr>
                <w:rFonts w:ascii="宋体" w:hAnsi="宋体" w:cs="Arial"/>
                <w:kern w:val="0"/>
                <w:sz w:val="18"/>
                <w:szCs w:val="18"/>
              </w:rPr>
              <w:t>销售机构</w:t>
            </w:r>
            <w:r>
              <w:rPr>
                <w:rFonts w:hint="eastAsia" w:ascii="宋体" w:hAnsi="宋体" w:cs="Arial"/>
                <w:kern w:val="0"/>
                <w:sz w:val="18"/>
                <w:szCs w:val="18"/>
              </w:rPr>
              <w:t>设置的投资者风险承受能力评级的划分</w:t>
            </w:r>
            <w:r>
              <w:rPr>
                <w:rFonts w:ascii="宋体" w:hAnsi="宋体" w:cs="Arial"/>
                <w:kern w:val="0"/>
                <w:sz w:val="18"/>
                <w:szCs w:val="18"/>
              </w:rPr>
              <w:t>标准</w:t>
            </w:r>
            <w:r>
              <w:rPr>
                <w:rFonts w:hint="eastAsia" w:ascii="宋体" w:hAnsi="宋体" w:cs="Arial"/>
                <w:kern w:val="0"/>
                <w:sz w:val="18"/>
                <w:szCs w:val="18"/>
              </w:rPr>
              <w:t>（详见《投资者权益须知》），投资者确认自身风险承受能力评级（由投资者填写）：【                        】</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Pr>
        <w:widowControl/>
        <w:jc w:val="left"/>
        <w:rPr>
          <w:rFonts w:ascii="宋体" w:hAnsi="宋体"/>
          <w:b/>
          <w:sz w:val="28"/>
          <w:szCs w:val="28"/>
        </w:rPr>
      </w:pPr>
      <w:r>
        <w:rPr>
          <w:rFonts w:ascii="宋体" w:hAnsi="宋体"/>
          <w:b/>
          <w:sz w:val="28"/>
          <w:szCs w:val="28"/>
        </w:rPr>
        <w:br w:type="page"/>
      </w:r>
    </w:p>
    <w:tbl>
      <w:tblPr>
        <w:tblStyle w:val="25"/>
        <w:tblW w:w="8388"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838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73" w:hRule="atLeast"/>
        </w:trPr>
        <w:tc>
          <w:tcPr>
            <w:tcW w:w="8388" w:type="dxa"/>
          </w:tcPr>
          <w:p>
            <w:pPr>
              <w:spacing w:line="280" w:lineRule="atLeast"/>
              <w:jc w:val="center"/>
              <w:rPr>
                <w:rFonts w:ascii="宋体" w:hAnsi="宋体" w:cs="Arial"/>
                <w:b/>
                <w:kern w:val="0"/>
                <w:sz w:val="20"/>
                <w:szCs w:val="21"/>
              </w:rPr>
            </w:pPr>
            <w:r>
              <w:rPr>
                <w:rFonts w:hint="eastAsia" w:ascii="宋体" w:hAnsi="宋体" w:cs="Arial"/>
                <w:b/>
                <w:kern w:val="0"/>
                <w:sz w:val="20"/>
                <w:szCs w:val="21"/>
              </w:rPr>
              <w:t>投资者确认栏</w:t>
            </w:r>
          </w:p>
          <w:p>
            <w:pPr>
              <w:spacing w:line="280" w:lineRule="atLeast"/>
              <w:jc w:val="center"/>
              <w:rPr>
                <w:rFonts w:ascii="宋体" w:hAnsi="宋体" w:cs="Arial"/>
                <w:kern w:val="0"/>
                <w:sz w:val="24"/>
                <w:szCs w:val="20"/>
              </w:rPr>
            </w:pPr>
            <w:r>
              <w:rPr>
                <w:rFonts w:hint="eastAsia" w:ascii="宋体" w:hAnsi="宋体" w:cs="Arial"/>
                <w:b/>
                <w:kern w:val="0"/>
                <w:sz w:val="20"/>
                <w:szCs w:val="21"/>
              </w:rPr>
              <w:t>（适用于机构投资者：金融同业</w:t>
            </w:r>
            <w:r>
              <w:rPr>
                <w:rFonts w:ascii="宋体" w:hAnsi="宋体" w:cs="Arial"/>
                <w:b/>
                <w:kern w:val="0"/>
                <w:sz w:val="20"/>
                <w:szCs w:val="21"/>
              </w:rPr>
              <w:t>客户</w:t>
            </w:r>
            <w:r>
              <w:rPr>
                <w:rFonts w:hint="eastAsia" w:ascii="宋体" w:hAnsi="宋体" w:cs="Arial"/>
                <w:b/>
                <w:kern w:val="0"/>
                <w:sz w:val="20"/>
                <w:szCs w:val="21"/>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6016" w:hRule="atLeast"/>
        </w:trPr>
        <w:tc>
          <w:tcPr>
            <w:tcW w:w="8388" w:type="dxa"/>
          </w:tcPr>
          <w:p>
            <w:pPr>
              <w:spacing w:line="280" w:lineRule="atLeast"/>
              <w:ind w:firstLine="360" w:firstLineChars="200"/>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黑体" w:hAnsi="黑体" w:eastAsia="黑体" w:cs="Arial"/>
                <w:kern w:val="0"/>
                <w:sz w:val="18"/>
                <w:szCs w:val="18"/>
              </w:rPr>
              <w:t>本公司（单位）已仔细阅读理财产品销售文件，已完全理解理财产品投资的性质和面临的风险，本公司（单位）确认产品管理人或销售机构相关业务人员对于理财产品销售文件中限制本公司（单位）权利、增加本公司（单位）义务以及有关免除、限制产品管理人责任或产品管理人单方面拥有某些权利的条款已向本公司（单位）予以说明，本公司（单位）完全理解并自愿接受。</w:t>
            </w:r>
          </w:p>
          <w:p>
            <w:pPr>
              <w:spacing w:line="280" w:lineRule="atLeast"/>
              <w:ind w:firstLine="360" w:firstLineChars="200"/>
              <w:jc w:val="left"/>
              <w:rPr>
                <w:rFonts w:ascii="宋体" w:hAnsi="宋体" w:cs="Arial"/>
                <w:kern w:val="0"/>
                <w:sz w:val="18"/>
                <w:szCs w:val="18"/>
              </w:rPr>
            </w:pPr>
          </w:p>
          <w:p>
            <w:pPr>
              <w:spacing w:line="280" w:lineRule="atLeast"/>
              <w:jc w:val="left"/>
              <w:rPr>
                <w:rFonts w:ascii="黑体" w:hAnsi="黑体" w:eastAsia="黑体" w:cs="Arial"/>
                <w:kern w:val="0"/>
                <w:sz w:val="18"/>
                <w:szCs w:val="18"/>
              </w:rPr>
            </w:pPr>
            <w:r>
              <w:rPr>
                <w:rFonts w:hint="eastAsia" w:ascii="黑体" w:hAnsi="黑体" w:eastAsia="黑体" w:cs="仿宋_GB2312"/>
                <w:bCs/>
                <w:kern w:val="0"/>
                <w:sz w:val="18"/>
                <w:szCs w:val="18"/>
              </w:rPr>
              <w:t>★</w:t>
            </w:r>
            <w:r>
              <w:rPr>
                <w:rFonts w:hint="eastAsia" w:ascii="宋体" w:hAnsi="宋体" w:cs="Arial"/>
                <w:kern w:val="0"/>
                <w:sz w:val="18"/>
                <w:szCs w:val="18"/>
              </w:rPr>
              <w:t>投资者需抄录的内容：</w:t>
            </w:r>
            <w:r>
              <w:rPr>
                <w:rFonts w:hint="eastAsia" w:ascii="黑体" w:hAnsi="黑体" w:eastAsia="黑体" w:cs="Arial"/>
                <w:kern w:val="0"/>
                <w:sz w:val="18"/>
                <w:szCs w:val="18"/>
              </w:rPr>
              <w:t>本公司（单位）已经阅读风险揭示，愿意承担投资风险。</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请投资者在此抄录：</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机构投资者（盖章）：</w:t>
            </w:r>
          </w:p>
          <w:p>
            <w:pPr>
              <w:spacing w:line="280" w:lineRule="atLeast"/>
              <w:jc w:val="left"/>
              <w:rPr>
                <w:rFonts w:ascii="宋体" w:hAnsi="宋体" w:cs="Arial"/>
                <w:kern w:val="0"/>
                <w:sz w:val="18"/>
                <w:szCs w:val="18"/>
              </w:rPr>
            </w:pPr>
          </w:p>
          <w:p>
            <w:pPr>
              <w:spacing w:line="280" w:lineRule="atLeast"/>
              <w:jc w:val="left"/>
              <w:rPr>
                <w:rFonts w:ascii="宋体" w:hAnsi="宋体" w:cs="Arial"/>
                <w:kern w:val="0"/>
                <w:sz w:val="18"/>
                <w:szCs w:val="18"/>
              </w:rPr>
            </w:pPr>
            <w:r>
              <w:rPr>
                <w:rFonts w:hint="eastAsia" w:ascii="宋体" w:hAnsi="宋体" w:cs="Arial"/>
                <w:kern w:val="0"/>
                <w:sz w:val="18"/>
                <w:szCs w:val="18"/>
              </w:rPr>
              <w:t>机构投资者法定代表人或授权</w:t>
            </w:r>
            <w:r>
              <w:rPr>
                <w:rFonts w:ascii="宋体" w:hAnsi="宋体" w:cs="Arial"/>
                <w:kern w:val="0"/>
                <w:sz w:val="18"/>
                <w:szCs w:val="18"/>
              </w:rPr>
              <w:t>代理人</w:t>
            </w:r>
            <w:r>
              <w:rPr>
                <w:rFonts w:hint="eastAsia" w:ascii="宋体" w:hAnsi="宋体" w:cs="Arial"/>
                <w:kern w:val="0"/>
                <w:sz w:val="18"/>
                <w:szCs w:val="18"/>
              </w:rPr>
              <w:t>（签字或盖章）：</w:t>
            </w:r>
          </w:p>
          <w:p>
            <w:pPr>
              <w:spacing w:line="280" w:lineRule="atLeast"/>
              <w:ind w:left="4200" w:firstLine="1080" w:firstLineChars="600"/>
              <w:jc w:val="left"/>
              <w:rPr>
                <w:rFonts w:ascii="宋体" w:hAnsi="宋体" w:cs="Arial"/>
                <w:kern w:val="0"/>
                <w:sz w:val="18"/>
                <w:szCs w:val="18"/>
              </w:rPr>
            </w:pPr>
          </w:p>
          <w:p>
            <w:pPr>
              <w:spacing w:line="280" w:lineRule="atLeast"/>
              <w:ind w:left="4200" w:firstLine="1080" w:firstLineChars="600"/>
              <w:jc w:val="left"/>
              <w:rPr>
                <w:rFonts w:ascii="宋体" w:hAnsi="宋体" w:cs="Arial"/>
                <w:kern w:val="0"/>
                <w:sz w:val="18"/>
                <w:szCs w:val="18"/>
              </w:rPr>
            </w:pPr>
            <w:r>
              <w:rPr>
                <w:rFonts w:hint="eastAsia" w:ascii="宋体" w:hAnsi="宋体" w:cs="Arial"/>
                <w:kern w:val="0"/>
                <w:sz w:val="18"/>
                <w:szCs w:val="18"/>
              </w:rPr>
              <w:t>日期：      年    月    日</w:t>
            </w:r>
          </w:p>
          <w:p>
            <w:pPr>
              <w:spacing w:line="280" w:lineRule="atLeast"/>
              <w:rPr>
                <w:kern w:val="0"/>
                <w:sz w:val="20"/>
                <w:szCs w:val="20"/>
              </w:rPr>
            </w:pPr>
          </w:p>
          <w:p>
            <w:pPr>
              <w:spacing w:line="280" w:lineRule="atLeast"/>
              <w:rPr>
                <w:b/>
                <w:kern w:val="0"/>
                <w:sz w:val="20"/>
                <w:szCs w:val="20"/>
              </w:rPr>
            </w:pPr>
            <w:r>
              <w:rPr>
                <w:rFonts w:hint="eastAsia"/>
                <w:b/>
                <w:kern w:val="0"/>
                <w:sz w:val="20"/>
                <w:szCs w:val="20"/>
              </w:rPr>
              <w:t>（本风险揭示书共有三份签署文本，第一联销售机构留存，第二联投资者留存，第三联产品管理人留存。）</w:t>
            </w:r>
          </w:p>
        </w:tc>
      </w:tr>
    </w:tbl>
    <w:p/>
    <w:p>
      <w:pPr>
        <w:spacing w:line="360" w:lineRule="auto"/>
        <w:jc w:val="left"/>
        <w:rPr>
          <w:rFonts w:hint="eastAsia" w:ascii="宋体" w:hAnsi="宋体"/>
          <w:b/>
          <w:sz w:val="18"/>
          <w:szCs w:val="18"/>
        </w:rPr>
        <w:sectPr>
          <w:headerReference r:id="rId13" w:type="default"/>
          <w:footerReference r:id="rId14" w:type="default"/>
          <w:pgSz w:w="11906" w:h="16838"/>
          <w:pgMar w:top="1440" w:right="1800" w:bottom="1440" w:left="1800" w:header="851" w:footer="992" w:gutter="0"/>
          <w:cols w:space="425" w:num="1"/>
          <w:docGrid w:type="lines" w:linePitch="312" w:charSpace="0"/>
        </w:sectPr>
      </w:pP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兴银理财【添利】理财产品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（适用于个人投资者）</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w:t>
      </w:r>
      <w:r>
        <w:rPr>
          <w:rFonts w:hint="eastAsia" w:ascii="宋体" w:hAnsi="宋体"/>
          <w:sz w:val="18"/>
          <w:szCs w:val="18"/>
          <w:lang w:val="en-US" w:eastAsia="zh-CN"/>
        </w:rPr>
        <w:t>福建省农村信用社联合社</w:t>
      </w:r>
      <w:r>
        <w:rPr>
          <w:rFonts w:hint="eastAsia" w:ascii="宋体" w:hAnsi="宋体"/>
          <w:sz w:val="18"/>
          <w:szCs w:val="18"/>
        </w:rPr>
        <w:t>】以(□ 直销：产品管理人销售/</w:t>
      </w:r>
      <w:r>
        <w:rPr>
          <w:rFonts w:hint="eastAsia" w:asciiTheme="majorEastAsia" w:hAnsiTheme="majorEastAsia" w:eastAsiaTheme="majorEastAsia"/>
          <w:bCs/>
          <w:color w:val="000000" w:themeColor="text1"/>
          <w:sz w:val="18"/>
          <w:szCs w:val="18"/>
          <w14:textFill>
            <w14:solidFill>
              <w14:schemeClr w14:val="tx1"/>
            </w14:solidFill>
          </w14:textFill>
        </w:rPr>
        <w:t>■</w:t>
      </w:r>
      <w:r>
        <w:rPr>
          <w:rFonts w:hint="eastAsia" w:ascii="宋体" w:hAnsi="宋体"/>
          <w:sz w:val="18"/>
          <w:szCs w:val="18"/>
        </w:rPr>
        <w:t xml:space="preserve">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0" w:firstLineChars="200"/>
        <w:rPr>
          <w:rFonts w:ascii="宋体" w:hAnsi="宋体"/>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ind w:firstLine="360" w:firstLineChars="200"/>
        <w:rPr>
          <w:rFonts w:ascii="宋体" w:hAnsi="宋体"/>
          <w:sz w:val="18"/>
          <w:szCs w:val="18"/>
        </w:rPr>
      </w:pPr>
      <w:r>
        <w:rPr>
          <w:rFonts w:hint="eastAsia" w:ascii="宋体" w:hAnsi="宋体"/>
          <w:sz w:val="18"/>
          <w:szCs w:val="18"/>
        </w:rPr>
        <w:t>（四）销售机构营业网点或电子银行</w:t>
      </w:r>
      <w:r>
        <w:rPr>
          <w:rFonts w:ascii="宋体" w:hAnsi="宋体"/>
          <w:sz w:val="18"/>
          <w:szCs w:val="18"/>
        </w:rPr>
        <w:t>（包括但不限于网上银行、电话银行和手机银行）均可办理理财产品的购买手续，但是对于具体理财产品，</w:t>
      </w:r>
      <w:r>
        <w:rPr>
          <w:rFonts w:hint="eastAsia" w:ascii="宋体" w:hAnsi="宋体"/>
          <w:sz w:val="18"/>
          <w:szCs w:val="18"/>
        </w:rPr>
        <w:t>产品管理人</w:t>
      </w:r>
      <w:r>
        <w:rPr>
          <w:rFonts w:ascii="宋体" w:hAnsi="宋体"/>
          <w:sz w:val="18"/>
          <w:szCs w:val="18"/>
        </w:rPr>
        <w:t>将根据产品风险等级和市场情况自行确定发售渠道。</w:t>
      </w:r>
    </w:p>
    <w:p>
      <w:pPr>
        <w:ind w:firstLine="361" w:firstLineChars="200"/>
        <w:rPr>
          <w:rFonts w:ascii="宋体" w:hAnsi="宋体"/>
          <w:b/>
          <w:sz w:val="18"/>
          <w:szCs w:val="18"/>
        </w:rPr>
      </w:pPr>
      <w:r>
        <w:rPr>
          <w:rFonts w:hint="eastAsia" w:ascii="宋体" w:hAnsi="宋体"/>
          <w:b/>
          <w:sz w:val="18"/>
          <w:szCs w:val="18"/>
        </w:rPr>
        <w:t>二、投资者风险承受能力与产品风险评级</w:t>
      </w:r>
    </w:p>
    <w:p>
      <w:pPr>
        <w:ind w:firstLine="361" w:firstLineChars="200"/>
        <w:rPr>
          <w:rFonts w:ascii="宋体" w:hAnsi="宋体"/>
          <w:b/>
          <w:sz w:val="18"/>
          <w:szCs w:val="18"/>
        </w:rPr>
      </w:pPr>
      <w:r>
        <w:rPr>
          <w:rFonts w:hint="eastAsia" w:ascii="宋体" w:hAnsi="宋体"/>
          <w:b/>
          <w:sz w:val="18"/>
          <w:szCs w:val="18"/>
        </w:rPr>
        <w:t>（一）投资者风险承受能力评估说明</w:t>
      </w:r>
    </w:p>
    <w:p>
      <w:pPr>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 xml:space="preserve"> </w:t>
      </w:r>
      <w:r>
        <w:rPr>
          <w:rFonts w:hint="eastAsia" w:ascii="宋体" w:hAnsi="宋体"/>
          <w:sz w:val="18"/>
          <w:szCs w:val="18"/>
        </w:rPr>
        <w:t>您首次购买兴银理财的理财产品前，需要进行风险承受能力评估，填写《个人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黑体" w:hAnsi="黑体" w:eastAsia="黑体"/>
          <w:b/>
          <w:sz w:val="18"/>
          <w:szCs w:val="18"/>
        </w:rPr>
        <w:t>如影响您风险承受能力的因素发生变化，请您及时重新完成风险承受能力评估。</w:t>
      </w:r>
    </w:p>
    <w:p>
      <w:pPr>
        <w:ind w:firstLine="360" w:firstLineChars="200"/>
        <w:rPr>
          <w:rFonts w:hint="eastAsia" w:ascii="宋体" w:hAnsi="宋体"/>
          <w:sz w:val="18"/>
          <w:szCs w:val="18"/>
        </w:rPr>
      </w:pPr>
      <w:r>
        <w:rPr>
          <w:rFonts w:hint="eastAsia" w:ascii="宋体" w:hAnsi="宋体"/>
          <w:sz w:val="18"/>
          <w:szCs w:val="18"/>
        </w:rPr>
        <w:t xml:space="preserve">2. </w:t>
      </w:r>
      <w:r>
        <w:rPr>
          <w:rFonts w:hint="eastAsia" w:ascii="宋体" w:hAnsi="宋体"/>
          <w:b/>
          <w:sz w:val="18"/>
          <w:szCs w:val="18"/>
        </w:rPr>
        <w:t>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w:t>
      </w:r>
      <w:r>
        <w:rPr>
          <w:rFonts w:hint="eastAsia" w:ascii="宋体" w:hAnsi="宋体"/>
          <w:sz w:val="18"/>
          <w:szCs w:val="18"/>
          <w:lang w:val="en-US" w:eastAsia="zh-CN"/>
        </w:rPr>
        <w:t>机构</w:t>
      </w:r>
      <w:r>
        <w:rPr>
          <w:rFonts w:hint="eastAsia" w:ascii="宋体" w:hAnsi="宋体"/>
          <w:sz w:val="18"/>
          <w:szCs w:val="18"/>
        </w:rPr>
        <w:t>投资者由低至高分为【</w:t>
      </w:r>
      <w:r>
        <w:rPr>
          <w:rFonts w:hint="eastAsia" w:ascii="宋体" w:hAnsi="宋体"/>
          <w:sz w:val="18"/>
          <w:szCs w:val="18"/>
          <w:lang w:val="en-US" w:eastAsia="zh-CN"/>
        </w:rPr>
        <w:t>保守型、谨慎型、稳健型、进取型、激进型</w:t>
      </w:r>
      <w:r>
        <w:rPr>
          <w:rFonts w:hint="eastAsia" w:ascii="宋体" w:hAnsi="宋体"/>
          <w:sz w:val="18"/>
          <w:szCs w:val="18"/>
        </w:rPr>
        <w:t>】</w:t>
      </w:r>
      <w:r>
        <w:rPr>
          <w:rFonts w:ascii="宋体" w:hAnsi="宋体"/>
          <w:sz w:val="18"/>
          <w:szCs w:val="18"/>
        </w:rPr>
        <w:t>。其中，</w:t>
      </w:r>
      <w:r>
        <w:rPr>
          <w:rFonts w:hint="eastAsia" w:ascii="宋体" w:hAnsi="宋体"/>
          <w:sz w:val="18"/>
          <w:szCs w:val="18"/>
        </w:rPr>
        <w:t>【</w:t>
      </w:r>
      <w:r>
        <w:rPr>
          <w:rFonts w:hint="eastAsia" w:ascii="宋体" w:hAnsi="宋体"/>
          <w:sz w:val="18"/>
          <w:szCs w:val="18"/>
          <w:lang w:val="en-US" w:eastAsia="zh-CN"/>
        </w:rPr>
        <w:t>保守型</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hint="eastAsia" w:ascii="宋体" w:hAnsi="宋体"/>
          <w:sz w:val="18"/>
          <w:szCs w:val="18"/>
          <w:lang w:val="en-US" w:eastAsia="zh-CN"/>
        </w:rPr>
        <w:t>激进型</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投资者风险承受能力风险评级类型与适合购买的理财产品的对应关系为：</w:t>
      </w:r>
    </w:p>
    <w:tbl>
      <w:tblPr>
        <w:tblStyle w:val="24"/>
        <w:tblW w:w="836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992"/>
        <w:gridCol w:w="1276"/>
        <w:gridCol w:w="1275"/>
        <w:gridCol w:w="2410"/>
        <w:gridCol w:w="14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1985" w:type="dxa"/>
            <w:gridSpan w:val="2"/>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风险调查问卷分值</w:t>
            </w:r>
          </w:p>
        </w:tc>
        <w:tc>
          <w:tcPr>
            <w:tcW w:w="1276" w:type="dxa"/>
            <w:vMerge w:val="restart"/>
            <w:tcBorders>
              <w:top w:val="single" w:color="auto" w:sz="4" w:space="0"/>
              <w:left w:val="single" w:color="auto" w:sz="4" w:space="0"/>
              <w:right w:val="single" w:color="auto" w:sz="4" w:space="0"/>
            </w:tcBorders>
            <w:vAlign w:val="center"/>
          </w:tcPr>
          <w:p>
            <w:pPr>
              <w:spacing w:line="0" w:lineRule="atLeast"/>
              <w:jc w:val="both"/>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投资者类型</w:t>
            </w:r>
          </w:p>
        </w:tc>
        <w:tc>
          <w:tcPr>
            <w:tcW w:w="1275"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投资者风险承受等级</w:t>
            </w:r>
          </w:p>
        </w:tc>
        <w:tc>
          <w:tcPr>
            <w:tcW w:w="2410"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风险特征描述</w:t>
            </w:r>
          </w:p>
        </w:tc>
        <w:tc>
          <w:tcPr>
            <w:tcW w:w="1418" w:type="dxa"/>
            <w:vMerge w:val="restart"/>
            <w:tcBorders>
              <w:top w:val="single" w:color="auto" w:sz="4" w:space="0"/>
              <w:left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适合理财评级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自然人</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法人单位</w:t>
            </w:r>
          </w:p>
        </w:tc>
        <w:tc>
          <w:tcPr>
            <w:tcW w:w="1276" w:type="dxa"/>
            <w:vMerge w:val="continue"/>
            <w:tcBorders>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p>
        </w:tc>
        <w:tc>
          <w:tcPr>
            <w:tcW w:w="1275"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2410"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c>
          <w:tcPr>
            <w:tcW w:w="1418" w:type="dxa"/>
            <w:vMerge w:val="continue"/>
            <w:tcBorders>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8"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81－100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86-100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激进型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属于可以承受高风险级别的投资者。适合投资于商品及金融衍生品类产品。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高风险R5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61－80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71-85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进取型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属于可以承担较高风险级别的投资者。适合投资于权益类产品。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中高风险R4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36－60</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46-70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稳健型</w:t>
            </w:r>
          </w:p>
        </w:tc>
        <w:tc>
          <w:tcPr>
            <w:tcW w:w="1275" w:type="dxa"/>
            <w:tcBorders>
              <w:top w:val="single" w:color="auto" w:sz="4" w:space="0"/>
              <w:left w:val="single" w:color="auto" w:sz="4" w:space="0"/>
              <w:bottom w:val="single" w:color="auto" w:sz="4" w:space="0"/>
              <w:right w:val="single" w:color="auto" w:sz="4" w:space="0"/>
            </w:tcBorders>
            <w:vAlign w:val="center"/>
          </w:tcPr>
          <w:p>
            <w:pPr>
              <w:pStyle w:val="43"/>
              <w:spacing w:line="540" w:lineRule="exact"/>
              <w:contextualSpacing/>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属于可以承担中等风险级别的投资者。适合投资于混合类产品。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中等风险R3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93" w:type="dxa"/>
            <w:tcBorders>
              <w:top w:val="single" w:color="auto" w:sz="4" w:space="0"/>
              <w:left w:val="single" w:color="auto" w:sz="4" w:space="0"/>
              <w:bottom w:val="single" w:color="auto" w:sz="4" w:space="0"/>
              <w:right w:val="single" w:color="auto" w:sz="4" w:space="0"/>
            </w:tcBorders>
            <w:vAlign w:val="center"/>
          </w:tcPr>
          <w:p>
            <w:pPr>
              <w:widowControl/>
              <w:ind w:firstLine="90" w:firstLineChars="5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16－35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31-45</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谨慎型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属于可以承担较低风险级别的投资者。适合投资于含股权性质或债项评级低于AA+的固定收益类产品。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中低风险R2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993"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-9－15</w:t>
            </w:r>
          </w:p>
        </w:tc>
        <w:tc>
          <w:tcPr>
            <w:tcW w:w="992"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小于等于30</w:t>
            </w:r>
          </w:p>
        </w:tc>
        <w:tc>
          <w:tcPr>
            <w:tcW w:w="1276" w:type="dxa"/>
            <w:tcBorders>
              <w:top w:val="single" w:color="auto" w:sz="4" w:space="0"/>
              <w:left w:val="single" w:color="auto" w:sz="4" w:space="0"/>
              <w:bottom w:val="single" w:color="auto" w:sz="4" w:space="0"/>
              <w:right w:val="single" w:color="auto" w:sz="4" w:space="0"/>
            </w:tcBorders>
            <w:vAlign w:val="center"/>
          </w:tcPr>
          <w:p>
            <w:pPr>
              <w:spacing w:line="0" w:lineRule="atLeast"/>
              <w:ind w:firstLine="180" w:firstLineChars="100"/>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保守型</w:t>
            </w:r>
          </w:p>
        </w:tc>
        <w:tc>
          <w:tcPr>
            <w:tcW w:w="1275"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w:t>
            </w:r>
          </w:p>
        </w:tc>
        <w:tc>
          <w:tcPr>
            <w:tcW w:w="2410" w:type="dxa"/>
            <w:tcBorders>
              <w:top w:val="single" w:color="auto" w:sz="4" w:space="0"/>
              <w:left w:val="single" w:color="auto" w:sz="4" w:space="0"/>
              <w:bottom w:val="single" w:color="auto" w:sz="4" w:space="0"/>
              <w:right w:val="single" w:color="auto" w:sz="4" w:space="0"/>
            </w:tcBorders>
            <w:vAlign w:val="center"/>
          </w:tcPr>
          <w:p>
            <w:pPr>
              <w:spacing w:line="0" w:lineRule="atLeast"/>
              <w:jc w:val="left"/>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属于可以承担低风险级别的投资者。适合投资于股权或债项评级高于AA+（含）以上的固定收益类产品。</w:t>
            </w:r>
          </w:p>
        </w:tc>
        <w:tc>
          <w:tcPr>
            <w:tcW w:w="1418" w:type="dxa"/>
            <w:tcBorders>
              <w:top w:val="single" w:color="auto" w:sz="4" w:space="0"/>
              <w:left w:val="single" w:color="auto" w:sz="4" w:space="0"/>
              <w:bottom w:val="single" w:color="auto" w:sz="4" w:space="0"/>
              <w:right w:val="single" w:color="auto" w:sz="4" w:space="0"/>
            </w:tcBorders>
            <w:vAlign w:val="center"/>
          </w:tcPr>
          <w:p>
            <w:pPr>
              <w:spacing w:line="0" w:lineRule="atLeast"/>
              <w:jc w:val="center"/>
              <w:rPr>
                <w:rFonts w:hint="eastAsia" w:asciiTheme="minorEastAsia" w:hAnsiTheme="minorEastAsia" w:eastAsiaTheme="minorEastAsia" w:cstheme="minorEastAsia"/>
                <w:sz w:val="18"/>
                <w:szCs w:val="18"/>
              </w:rPr>
            </w:pPr>
            <w:r>
              <w:rPr>
                <w:rFonts w:hint="eastAsia" w:asciiTheme="minorEastAsia" w:hAnsiTheme="minorEastAsia" w:eastAsiaTheme="minorEastAsia" w:cstheme="minorEastAsia"/>
                <w:sz w:val="18"/>
                <w:szCs w:val="18"/>
              </w:rPr>
              <w:t>低风险R1</w:t>
            </w:r>
          </w:p>
        </w:tc>
      </w:tr>
    </w:tbl>
    <w:p>
      <w:pPr>
        <w:ind w:firstLine="360" w:firstLineChars="200"/>
        <w:rPr>
          <w:rFonts w:hint="eastAsia" w:ascii="宋体" w:hAnsi="宋体"/>
          <w:sz w:val="18"/>
          <w:szCs w:val="18"/>
        </w:rPr>
      </w:pPr>
    </w:p>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ind w:firstLine="361" w:firstLineChars="200"/>
        <w:rPr>
          <w:rFonts w:ascii="宋体" w:hAnsi="宋体"/>
          <w:b/>
          <w:sz w:val="18"/>
          <w:szCs w:val="18"/>
        </w:rPr>
      </w:pPr>
      <w:r>
        <w:rPr>
          <w:rFonts w:hint="eastAsia" w:ascii="宋体" w:hAnsi="宋体"/>
          <w:b/>
          <w:sz w:val="18"/>
          <w:szCs w:val="18"/>
        </w:rPr>
        <w:t>三、关于理财产品的信息披露</w:t>
      </w:r>
    </w:p>
    <w:p>
      <w:pPr>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理财产品的信息披露将通过兴业银行</w:t>
      </w:r>
      <w:r>
        <w:rPr>
          <w:rFonts w:asciiTheme="minorEastAsia" w:hAnsiTheme="minorEastAsia"/>
          <w:sz w:val="18"/>
          <w:szCs w:val="18"/>
        </w:rPr>
        <w:t>或</w:t>
      </w:r>
      <w:r>
        <w:rPr>
          <w:rFonts w:hint="eastAsia" w:asciiTheme="minorEastAsia" w:hAnsiTheme="minorEastAsia"/>
          <w:sz w:val="18"/>
          <w:szCs w:val="18"/>
        </w:rPr>
        <w:t>销售机构</w:t>
      </w:r>
      <w:r>
        <w:rPr>
          <w:rFonts w:hint="eastAsia" w:ascii="宋体" w:hAnsi="宋体"/>
          <w:bCs/>
          <w:sz w:val="18"/>
          <w:szCs w:val="18"/>
        </w:rPr>
        <w:t>的信息披露渠道（包括但不限于兴业</w:t>
      </w:r>
      <w:r>
        <w:rPr>
          <w:rFonts w:ascii="宋体" w:hAnsi="宋体"/>
          <w:bCs/>
          <w:sz w:val="18"/>
          <w:szCs w:val="18"/>
        </w:rPr>
        <w:t>银</w:t>
      </w:r>
      <w:r>
        <w:rPr>
          <w:rFonts w:hint="eastAsia" w:ascii="宋体" w:hAnsi="宋体"/>
          <w:bCs/>
          <w:sz w:val="18"/>
          <w:szCs w:val="18"/>
        </w:rPr>
        <w:t>行或销售机构的营业网点、门户网站、电子销售渠道等）进行。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信息披露条款</w:t>
      </w:r>
      <w:r>
        <w:rPr>
          <w:rFonts w:asciiTheme="minorEastAsia" w:hAnsiTheme="minorEastAsia"/>
          <w:sz w:val="18"/>
          <w:szCs w:val="18"/>
        </w:rPr>
        <w:t>以《产品说明书》中“信息披露</w:t>
      </w:r>
      <w:r>
        <w:rPr>
          <w:rFonts w:hint="eastAsia" w:asciiTheme="minorEastAsia" w:hAnsiTheme="minorEastAsia"/>
          <w:sz w:val="18"/>
          <w:szCs w:val="18"/>
        </w:rPr>
        <w:t>”约定为准。</w:t>
      </w:r>
    </w:p>
    <w:p>
      <w:pPr>
        <w:ind w:firstLine="361" w:firstLineChars="200"/>
        <w:rPr>
          <w:rFonts w:asciiTheme="minorEastAsia" w:hAnsiTheme="minorEastAsia"/>
          <w:b/>
          <w:sz w:val="18"/>
          <w:szCs w:val="18"/>
        </w:rPr>
      </w:pPr>
      <w:r>
        <w:rPr>
          <w:rFonts w:hint="eastAsia" w:ascii="宋体" w:hAnsi="宋体"/>
          <w:b/>
          <w:sz w:val="18"/>
          <w:szCs w:val="18"/>
        </w:rPr>
        <w:t>四、关于投诉与建议</w:t>
      </w:r>
    </w:p>
    <w:p>
      <w:pPr>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ind w:firstLine="360" w:firstLineChars="200"/>
        <w:rPr>
          <w:rFonts w:ascii="宋体" w:hAnsi="宋体"/>
          <w:sz w:val="18"/>
          <w:szCs w:val="18"/>
        </w:rPr>
      </w:pPr>
      <w:r>
        <w:rPr>
          <w:rFonts w:hint="eastAsia" w:ascii="宋体" w:hAnsi="宋体"/>
          <w:sz w:val="18"/>
          <w:szCs w:val="18"/>
        </w:rPr>
        <w:t>（二）联络方式</w:t>
      </w:r>
      <w:r>
        <w:rPr>
          <w:rFonts w:ascii="宋体" w:hAnsi="宋体"/>
          <w:sz w:val="18"/>
          <w:szCs w:val="18"/>
        </w:rPr>
        <w:t xml:space="preserve"> </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ascii="宋体" w:hAnsi="宋体"/>
          <w:sz w:val="18"/>
          <w:szCs w:val="18"/>
        </w:rPr>
        <w:t>通过</w:t>
      </w:r>
      <w:r>
        <w:rPr>
          <w:rFonts w:hint="eastAsia" w:ascii="宋体" w:hAnsi="宋体"/>
          <w:sz w:val="18"/>
          <w:szCs w:val="18"/>
        </w:rPr>
        <w:t>兴业银行（作为销售机构）购</w:t>
      </w:r>
      <w:r>
        <w:rPr>
          <w:rFonts w:ascii="宋体" w:hAnsi="宋体"/>
          <w:sz w:val="18"/>
          <w:szCs w:val="18"/>
        </w:rPr>
        <w:t>买本产品的请联系兴业银行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numPr>
          <w:ilvl w:val="0"/>
          <w:numId w:val="0"/>
        </w:numPr>
        <w:autoSpaceDE w:val="0"/>
        <w:autoSpaceDN w:val="0"/>
        <w:adjustRightInd w:val="0"/>
        <w:spacing w:line="280" w:lineRule="atLeast"/>
        <w:ind w:firstLine="360" w:firstLineChars="200"/>
        <w:jc w:val="left"/>
        <w:rPr>
          <w:rFonts w:hint="eastAsia" w:ascii="宋体" w:hAnsi="宋体"/>
          <w:sz w:val="18"/>
          <w:szCs w:val="18"/>
        </w:rPr>
      </w:pPr>
      <w:r>
        <w:rPr>
          <w:rFonts w:hint="eastAsia" w:ascii="宋体" w:hAnsi="宋体"/>
          <w:sz w:val="18"/>
          <w:szCs w:val="18"/>
        </w:rPr>
        <w:t>通过【福建省农村信用社联合社】（作为销售服务机构）购买本产品的，请联系【福建省农村信用社联合社】，【福建省农村信用社联合社】客户服务热线：【0591-96336】；【福建省农村信用社联合社】门户网站：【www.fjnx.com.cn】。</w:t>
      </w:r>
    </w:p>
    <w:p>
      <w:pPr>
        <w:autoSpaceDE w:val="0"/>
        <w:autoSpaceDN w:val="0"/>
        <w:adjustRightInd w:val="0"/>
        <w:jc w:val="left"/>
        <w:rPr>
          <w:rFonts w:ascii="仿宋_GB2312" w:eastAsia="仿宋_GB2312" w:cs="仿宋_GB2312"/>
          <w:color w:val="000000"/>
          <w:kern w:val="0"/>
          <w:sz w:val="24"/>
          <w:szCs w:val="24"/>
        </w:rPr>
      </w:pPr>
    </w:p>
    <w:p>
      <w:pPr>
        <w:autoSpaceDE w:val="0"/>
        <w:autoSpaceDN w:val="0"/>
        <w:adjustRightInd w:val="0"/>
        <w:jc w:val="left"/>
        <w:rPr>
          <w:rFonts w:ascii="仿宋_GB2312" w:eastAsia="仿宋_GB2312" w:cs="仿宋_GB2312"/>
          <w:color w:val="000000"/>
          <w:kern w:val="0"/>
          <w:sz w:val="24"/>
          <w:szCs w:val="24"/>
        </w:rPr>
      </w:pPr>
    </w:p>
    <w:p>
      <w:pPr>
        <w:jc w:val="right"/>
        <w:rPr>
          <w:rFonts w:ascii="宋体" w:hAnsi="宋体"/>
          <w:sz w:val="18"/>
          <w:szCs w:val="18"/>
        </w:rPr>
      </w:pPr>
    </w:p>
    <w:p>
      <w:pPr>
        <w:ind w:right="84" w:rightChars="40"/>
        <w:jc w:val="right"/>
        <w:rPr>
          <w:rFonts w:ascii="宋体" w:hAnsi="宋体"/>
          <w:sz w:val="18"/>
          <w:szCs w:val="18"/>
        </w:rPr>
      </w:pPr>
      <w:r>
        <w:rPr>
          <w:rFonts w:ascii="宋体" w:hAnsi="宋体"/>
          <w:sz w:val="18"/>
          <w:szCs w:val="18"/>
        </w:rPr>
        <w:t xml:space="preserve"> </w:t>
      </w:r>
    </w:p>
    <w:p>
      <w:pPr>
        <w:widowControl/>
        <w:jc w:val="left"/>
        <w:rPr>
          <w:rFonts w:ascii="宋体" w:hAnsi="宋体"/>
          <w:b/>
          <w:sz w:val="28"/>
          <w:szCs w:val="28"/>
        </w:rPr>
      </w:pPr>
      <w:r>
        <w:rPr>
          <w:rFonts w:ascii="宋体" w:hAnsi="宋体"/>
          <w:b/>
          <w:sz w:val="28"/>
          <w:szCs w:val="28"/>
        </w:rPr>
        <w:br w:type="page"/>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兴银理财【】理财产品</w:t>
      </w:r>
    </w:p>
    <w:p>
      <w:pPr>
        <w:adjustRightInd w:val="0"/>
        <w:spacing w:line="280" w:lineRule="atLeast"/>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spacing w:line="280" w:lineRule="atLeast"/>
        <w:jc w:val="center"/>
        <w:rPr>
          <w:rFonts w:hAnsi="宋体"/>
          <w:b/>
          <w:color w:val="auto"/>
          <w:sz w:val="28"/>
          <w:szCs w:val="28"/>
        </w:rPr>
      </w:pPr>
      <w:r>
        <w:rPr>
          <w:rFonts w:hint="eastAsia" w:hAnsi="宋体"/>
          <w:b/>
          <w:color w:val="auto"/>
          <w:sz w:val="28"/>
          <w:szCs w:val="28"/>
        </w:rPr>
        <w:t>（适用于机构投资者：</w:t>
      </w:r>
      <w:r>
        <w:rPr>
          <w:rFonts w:hAnsi="宋体"/>
          <w:b/>
          <w:color w:val="auto"/>
          <w:sz w:val="28"/>
          <w:szCs w:val="28"/>
        </w:rPr>
        <w:t>一般机构客户</w:t>
      </w:r>
      <w:r>
        <w:rPr>
          <w:rFonts w:hint="eastAsia" w:hAnsi="宋体"/>
          <w:b/>
          <w:color w:val="auto"/>
          <w:sz w:val="28"/>
          <w:szCs w:val="28"/>
        </w:rPr>
        <w:t>）</w:t>
      </w:r>
    </w:p>
    <w:p>
      <w:pPr>
        <w:spacing w:line="280" w:lineRule="atLeast"/>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spacing w:line="280" w:lineRule="atLeast"/>
        <w:ind w:firstLine="360" w:firstLineChars="200"/>
        <w:rPr>
          <w:rFonts w:ascii="宋体" w:hAnsi="宋体"/>
          <w:sz w:val="18"/>
          <w:szCs w:val="18"/>
        </w:rPr>
      </w:pPr>
    </w:p>
    <w:p>
      <w:pPr>
        <w:spacing w:line="280" w:lineRule="atLeast"/>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1" w:firstLineChars="200"/>
        <w:rPr>
          <w:rFonts w:ascii="宋体" w:hAnsi="宋体"/>
          <w:b/>
          <w:sz w:val="18"/>
          <w:szCs w:val="18"/>
        </w:rPr>
      </w:pPr>
      <w:r>
        <w:rPr>
          <w:rFonts w:hint="eastAsia" w:ascii="宋体" w:hAnsi="宋体"/>
          <w:b/>
          <w:sz w:val="18"/>
          <w:szCs w:val="18"/>
        </w:rPr>
        <w:t>（一）投资者风险承受能力评估说明</w:t>
      </w:r>
    </w:p>
    <w:p>
      <w:pPr>
        <w:spacing w:line="280" w:lineRule="atLeast"/>
        <w:ind w:firstLine="360" w:firstLineChars="200"/>
        <w:rPr>
          <w:rFonts w:ascii="宋体" w:hAnsi="宋体"/>
          <w:sz w:val="18"/>
          <w:szCs w:val="18"/>
        </w:rPr>
      </w:pPr>
      <w:r>
        <w:rPr>
          <w:rFonts w:hint="eastAsia" w:ascii="宋体" w:hAnsi="宋体"/>
          <w:sz w:val="18"/>
          <w:szCs w:val="18"/>
        </w:rPr>
        <w:t>1.您首次购买兴银理财的理财产品前，需要进行风险承受能力评估，填写《机构投资者风险承受能力评估问卷》，理财销售管理系统会记录投资者身份信息及风险评估结果信息。该评估结果有效期一年，并将作为评价您是否适合购买理财产品的重要因素。您可以通过销售机构</w:t>
      </w:r>
      <w:r>
        <w:rPr>
          <w:rFonts w:ascii="宋体" w:hAnsi="宋体"/>
          <w:sz w:val="18"/>
          <w:szCs w:val="18"/>
        </w:rPr>
        <w:t>线下渠道</w:t>
      </w:r>
      <w:r>
        <w:rPr>
          <w:rFonts w:hint="eastAsia" w:ascii="宋体" w:hAnsi="宋体"/>
          <w:sz w:val="18"/>
          <w:szCs w:val="18"/>
        </w:rPr>
        <w:t>或</w:t>
      </w:r>
      <w:r>
        <w:rPr>
          <w:rFonts w:ascii="宋体" w:hAnsi="宋体"/>
          <w:sz w:val="18"/>
          <w:szCs w:val="18"/>
        </w:rPr>
        <w:t>线上渠道</w:t>
      </w:r>
      <w:r>
        <w:rPr>
          <w:rFonts w:hint="eastAsia" w:ascii="宋体" w:hAnsi="宋体"/>
          <w:sz w:val="18"/>
          <w:szCs w:val="18"/>
        </w:rPr>
        <w:t>进行风险承受能力持续评估。</w:t>
      </w:r>
      <w:r>
        <w:rPr>
          <w:rFonts w:hint="eastAsia" w:ascii="宋体" w:hAnsi="宋体"/>
          <w:b/>
          <w:sz w:val="18"/>
          <w:szCs w:val="18"/>
        </w:rPr>
        <w:t>如影响您风险承受能力的因素发生变化，请您及时重新完成风险承受能力评估。</w:t>
      </w:r>
    </w:p>
    <w:p>
      <w:pPr>
        <w:ind w:firstLine="361" w:firstLineChars="200"/>
        <w:rPr>
          <w:rFonts w:ascii="宋体" w:hAnsi="宋体"/>
          <w:b/>
          <w:sz w:val="18"/>
          <w:szCs w:val="18"/>
        </w:rPr>
      </w:pPr>
      <w:r>
        <w:rPr>
          <w:rFonts w:ascii="宋体" w:hAnsi="宋体"/>
          <w:b/>
          <w:sz w:val="18"/>
          <w:szCs w:val="18"/>
        </w:rPr>
        <w:t>2</w:t>
      </w:r>
      <w:r>
        <w:rPr>
          <w:rFonts w:hint="eastAsia" w:ascii="宋体" w:hAnsi="宋体"/>
          <w:b/>
          <w:sz w:val="18"/>
          <w:szCs w:val="18"/>
        </w:rPr>
        <w:t>. 投资者风险承受能力评级与理财产品风险评级</w:t>
      </w:r>
    </w:p>
    <w:p>
      <w:pPr>
        <w:ind w:firstLine="360" w:firstLineChars="200"/>
        <w:rPr>
          <w:rFonts w:ascii="宋体" w:hAnsi="宋体"/>
          <w:sz w:val="18"/>
          <w:szCs w:val="18"/>
        </w:rPr>
      </w:pPr>
      <w:r>
        <w:rPr>
          <w:rFonts w:hint="eastAsia" w:ascii="宋体" w:hAnsi="宋体"/>
          <w:sz w:val="18"/>
          <w:szCs w:val="18"/>
        </w:rPr>
        <w:t>销售机构</w:t>
      </w:r>
      <w:r>
        <w:rPr>
          <w:rFonts w:ascii="宋体" w:hAnsi="宋体"/>
          <w:sz w:val="18"/>
          <w:szCs w:val="18"/>
        </w:rPr>
        <w:t>根据</w:t>
      </w:r>
      <w:r>
        <w:rPr>
          <w:rFonts w:hint="eastAsia" w:ascii="宋体" w:hAnsi="宋体"/>
          <w:sz w:val="18"/>
          <w:szCs w:val="18"/>
        </w:rPr>
        <w:t>投资者风险承受能力，机构投资者由低至高分为【  】</w:t>
      </w:r>
      <w:r>
        <w:rPr>
          <w:rFonts w:ascii="宋体" w:hAnsi="宋体"/>
          <w:sz w:val="18"/>
          <w:szCs w:val="18"/>
        </w:rPr>
        <w:t>。其中，</w:t>
      </w:r>
      <w:r>
        <w:rPr>
          <w:rFonts w:hint="eastAsia" w:ascii="宋体" w:hAnsi="宋体"/>
          <w:sz w:val="18"/>
          <w:szCs w:val="18"/>
        </w:rPr>
        <w:t>【】</w:t>
      </w:r>
      <w:r>
        <w:rPr>
          <w:rFonts w:ascii="宋体" w:hAnsi="宋体"/>
          <w:sz w:val="18"/>
          <w:szCs w:val="18"/>
        </w:rPr>
        <w:t>为风险承受能力最低类别，</w:t>
      </w:r>
      <w:r>
        <w:rPr>
          <w:rFonts w:hint="eastAsia" w:ascii="宋体" w:hAnsi="宋体"/>
          <w:sz w:val="18"/>
          <w:szCs w:val="18"/>
        </w:rPr>
        <w:t>【】</w:t>
      </w:r>
      <w:r>
        <w:rPr>
          <w:rFonts w:ascii="宋体" w:hAnsi="宋体"/>
          <w:sz w:val="18"/>
          <w:szCs w:val="18"/>
        </w:rPr>
        <w:t>为风险承受能力最高类别。风险承受能力评级越高适合购买的理财产品风险评级越高，适合购买的理财产品类型越丰富</w:t>
      </w:r>
      <w:r>
        <w:rPr>
          <w:rFonts w:hint="eastAsia" w:ascii="宋体" w:hAnsi="宋体"/>
          <w:sz w:val="18"/>
          <w:szCs w:val="18"/>
        </w:rPr>
        <w:t>。</w:t>
      </w:r>
      <w:r>
        <w:rPr>
          <w:rFonts w:ascii="宋体" w:hAnsi="宋体"/>
          <w:sz w:val="18"/>
          <w:szCs w:val="18"/>
        </w:rPr>
        <w:t>投资者风险承受能力评级类型与适合购买的理财产品的对应关系为：</w:t>
      </w:r>
    </w:p>
    <w:tbl>
      <w:tblPr>
        <w:tblStyle w:val="24"/>
        <w:tblW w:w="8482"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777"/>
        <w:gridCol w:w="4840"/>
        <w:gridCol w:w="286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61" w:hRule="atLeast"/>
          <w:jc w:val="center"/>
        </w:trPr>
        <w:tc>
          <w:tcPr>
            <w:tcW w:w="5617" w:type="dxa"/>
            <w:gridSpan w:val="2"/>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理财产品风险评级及风险评级说明</w:t>
            </w:r>
          </w:p>
        </w:tc>
        <w:tc>
          <w:tcPr>
            <w:tcW w:w="2865" w:type="dxa"/>
            <w:tcBorders>
              <w:top w:val="single" w:color="auto" w:sz="12" w:space="0"/>
              <w:left w:val="single" w:color="auto" w:sz="12" w:space="0"/>
              <w:right w:val="single" w:color="auto" w:sz="12" w:space="0"/>
            </w:tcBorders>
            <w:vAlign w:val="center"/>
          </w:tcPr>
          <w:p>
            <w:pPr>
              <w:jc w:val="center"/>
              <w:rPr>
                <w:rFonts w:ascii="宋体" w:hAnsi="宋体"/>
                <w:sz w:val="18"/>
                <w:szCs w:val="18"/>
              </w:rPr>
            </w:pPr>
            <w:r>
              <w:rPr>
                <w:rFonts w:hint="eastAsia" w:ascii="宋体" w:hAnsi="宋体"/>
                <w:sz w:val="18"/>
                <w:szCs w:val="18"/>
              </w:rPr>
              <w:t>对应的投资者风险承受能力评级</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89" w:hRule="atLeast"/>
          <w:jc w:val="center"/>
        </w:trPr>
        <w:tc>
          <w:tcPr>
            <w:tcW w:w="777"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4840"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c>
          <w:tcPr>
            <w:tcW w:w="2865" w:type="dxa"/>
            <w:tcBorders>
              <w:top w:val="single" w:color="auto" w:sz="12" w:space="0"/>
              <w:left w:val="single" w:color="auto" w:sz="12" w:space="0"/>
              <w:bottom w:val="single" w:color="auto" w:sz="12" w:space="0"/>
              <w:right w:val="single" w:color="auto" w:sz="12" w:space="0"/>
            </w:tcBorders>
            <w:vAlign w:val="center"/>
          </w:tcPr>
          <w:p>
            <w:pPr>
              <w:ind w:firstLine="360" w:firstLineChars="200"/>
              <w:rPr>
                <w:rFonts w:ascii="宋体" w:hAnsi="宋体"/>
                <w:sz w:val="18"/>
                <w:szCs w:val="18"/>
              </w:rPr>
            </w:pPr>
          </w:p>
        </w:tc>
      </w:tr>
    </w:tbl>
    <w:p>
      <w:pPr>
        <w:ind w:firstLine="360" w:firstLineChars="200"/>
        <w:rPr>
          <w:rFonts w:ascii="黑体" w:hAnsi="黑体" w:eastAsia="黑体"/>
          <w:sz w:val="18"/>
          <w:szCs w:val="18"/>
        </w:rPr>
      </w:pPr>
      <w:r>
        <w:rPr>
          <w:rFonts w:hint="eastAsia" w:ascii="黑体" w:hAnsi="黑体" w:eastAsia="黑体" w:cs="仿宋_GB2312"/>
          <w:bCs/>
          <w:kern w:val="0"/>
          <w:sz w:val="18"/>
          <w:szCs w:val="18"/>
        </w:rPr>
        <w:t>★</w:t>
      </w:r>
      <w:r>
        <w:rPr>
          <w:rFonts w:hint="eastAsia" w:ascii="黑体" w:hAnsi="黑体" w:eastAsia="黑体"/>
          <w:sz w:val="18"/>
          <w:szCs w:val="18"/>
        </w:rPr>
        <w:t>（二）针对“理财产品风险评级”、 “投资者风险承受能力”、“适合投资者类型”的不同划分与表述的特别提示</w:t>
      </w:r>
    </w:p>
    <w:p>
      <w:pPr>
        <w:ind w:firstLine="360" w:firstLineChars="200"/>
        <w:rPr>
          <w:rFonts w:ascii="黑体" w:hAnsi="黑体" w:eastAsia="黑体"/>
          <w:sz w:val="18"/>
          <w:szCs w:val="18"/>
        </w:rPr>
      </w:pPr>
      <w:r>
        <w:rPr>
          <w:rFonts w:hint="eastAsia" w:ascii="黑体" w:hAnsi="黑体" w:eastAsia="黑体"/>
          <w:sz w:val="18"/>
          <w:szCs w:val="18"/>
        </w:rPr>
        <w:t>1</w:t>
      </w:r>
      <w:r>
        <w:rPr>
          <w:rFonts w:ascii="黑体" w:hAnsi="黑体" w:eastAsia="黑体"/>
          <w:sz w:val="18"/>
          <w:szCs w:val="18"/>
        </w:rPr>
        <w:t>.</w:t>
      </w:r>
      <w:r>
        <w:rPr>
          <w:rFonts w:hint="eastAsia" w:ascii="黑体" w:hAnsi="黑体" w:eastAsia="黑体"/>
          <w:sz w:val="18"/>
          <w:szCs w:val="18"/>
        </w:rPr>
        <w:t>销售机构在销售本产品时，其对“理财产品风险评级”、“投资者风险承受能力”、“适合投资者类型”等级的划分与表述可能与产品管理人存在差异，即采用销售机构设置的标准。</w:t>
      </w:r>
    </w:p>
    <w:p>
      <w:pPr>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销售机构应以书面的方式向投资者明示其对“理财产品风险评级”、“投资者风险承受能力等级”的划分与“适合投资者类型”的表述。</w:t>
      </w:r>
    </w:p>
    <w:p>
      <w:pPr>
        <w:spacing w:line="280" w:lineRule="atLeast"/>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 xml:space="preserve"> </w:t>
      </w:r>
      <w:r>
        <w:rPr>
          <w:rFonts w:hint="eastAsia" w:ascii="宋体" w:hAnsi="宋体"/>
          <w:b/>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Pr>
        <w:autoSpaceDE w:val="0"/>
        <w:autoSpaceDN w:val="0"/>
        <w:adjustRightInd w:val="0"/>
        <w:spacing w:line="280" w:lineRule="atLeast"/>
        <w:jc w:val="left"/>
        <w:rPr>
          <w:rFonts w:ascii="仿宋_GB2312" w:eastAsia="仿宋_GB2312" w:cs="仿宋_GB2312"/>
          <w:color w:val="000000"/>
          <w:kern w:val="0"/>
          <w:sz w:val="24"/>
          <w:szCs w:val="24"/>
        </w:rPr>
      </w:pPr>
    </w:p>
    <w:p>
      <w:pPr>
        <w:autoSpaceDE w:val="0"/>
        <w:autoSpaceDN w:val="0"/>
        <w:adjustRightInd w:val="0"/>
        <w:spacing w:line="280" w:lineRule="atLeast"/>
        <w:jc w:val="left"/>
        <w:rPr>
          <w:rFonts w:ascii="仿宋_GB2312" w:eastAsia="仿宋_GB2312" w:cs="仿宋_GB2312"/>
          <w:color w:val="000000"/>
          <w:kern w:val="0"/>
          <w:sz w:val="24"/>
          <w:szCs w:val="24"/>
        </w:rPr>
      </w:pPr>
    </w:p>
    <w:p>
      <w:pPr>
        <w:spacing w:line="280" w:lineRule="atLeast"/>
        <w:jc w:val="right"/>
        <w:rPr>
          <w:rFonts w:ascii="宋体" w:hAnsi="宋体"/>
          <w:sz w:val="18"/>
          <w:szCs w:val="18"/>
        </w:rPr>
      </w:pPr>
    </w:p>
    <w:p>
      <w:pPr>
        <w:spacing w:line="280" w:lineRule="atLeast"/>
        <w:ind w:right="84" w:rightChars="40"/>
        <w:jc w:val="right"/>
        <w:rPr>
          <w:rFonts w:ascii="宋体" w:hAnsi="宋体"/>
          <w:sz w:val="18"/>
          <w:szCs w:val="18"/>
        </w:rPr>
      </w:pPr>
    </w:p>
    <w:p>
      <w:pPr>
        <w:widowControl/>
        <w:spacing w:line="280" w:lineRule="atLeast"/>
        <w:jc w:val="left"/>
        <w:rPr>
          <w:rFonts w:ascii="宋体" w:hAnsi="宋体"/>
          <w:b/>
          <w:sz w:val="28"/>
          <w:szCs w:val="28"/>
        </w:rPr>
      </w:pPr>
      <w:r>
        <w:rPr>
          <w:rFonts w:ascii="宋体" w:hAnsi="宋体"/>
          <w:b/>
          <w:sz w:val="28"/>
          <w:szCs w:val="28"/>
        </w:rPr>
        <w:br w:type="page"/>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兴银理财【】理财产品</w:t>
      </w:r>
    </w:p>
    <w:p>
      <w:pPr>
        <w:adjustRightInd w:val="0"/>
        <w:spacing w:line="276" w:lineRule="auto"/>
        <w:jc w:val="center"/>
        <w:rPr>
          <w:rStyle w:val="27"/>
          <w:rFonts w:ascii="黑体" w:hAnsi="黑体" w:eastAsia="黑体"/>
          <w:sz w:val="28"/>
          <w:szCs w:val="28"/>
        </w:rPr>
      </w:pPr>
      <w:r>
        <w:rPr>
          <w:rStyle w:val="27"/>
          <w:rFonts w:hint="eastAsia" w:ascii="黑体" w:hAnsi="黑体" w:eastAsia="黑体"/>
          <w:sz w:val="28"/>
          <w:szCs w:val="28"/>
        </w:rPr>
        <w:t>投资者权益须知</w:t>
      </w:r>
    </w:p>
    <w:p>
      <w:pPr>
        <w:pStyle w:val="43"/>
        <w:jc w:val="center"/>
        <w:rPr>
          <w:rFonts w:hAnsi="宋体"/>
          <w:b/>
          <w:color w:val="auto"/>
          <w:sz w:val="28"/>
          <w:szCs w:val="28"/>
        </w:rPr>
      </w:pPr>
      <w:r>
        <w:rPr>
          <w:rFonts w:hint="eastAsia" w:hAnsi="宋体"/>
          <w:b/>
          <w:color w:val="auto"/>
          <w:sz w:val="28"/>
          <w:szCs w:val="28"/>
        </w:rPr>
        <w:t>（适用于机构投资者：金融</w:t>
      </w:r>
      <w:r>
        <w:rPr>
          <w:rFonts w:hAnsi="宋体"/>
          <w:b/>
          <w:color w:val="auto"/>
          <w:sz w:val="28"/>
          <w:szCs w:val="28"/>
        </w:rPr>
        <w:t>同业客户</w:t>
      </w:r>
      <w:r>
        <w:rPr>
          <w:rFonts w:hint="eastAsia" w:hAnsi="宋体"/>
          <w:b/>
          <w:color w:val="auto"/>
          <w:sz w:val="28"/>
          <w:szCs w:val="28"/>
        </w:rPr>
        <w:t>）</w:t>
      </w:r>
    </w:p>
    <w:p>
      <w:pPr>
        <w:rPr>
          <w:rFonts w:ascii="宋体" w:hAnsi="宋体"/>
          <w:b/>
          <w:sz w:val="18"/>
          <w:szCs w:val="18"/>
        </w:rPr>
      </w:pPr>
      <w:r>
        <w:rPr>
          <w:rFonts w:hint="eastAsia" w:ascii="宋体" w:hAnsi="宋体"/>
          <w:b/>
          <w:sz w:val="18"/>
          <w:szCs w:val="18"/>
        </w:rPr>
        <w:t>尊敬的投资者：</w:t>
      </w:r>
    </w:p>
    <w:p>
      <w:pPr>
        <w:spacing w:line="320" w:lineRule="exact"/>
        <w:ind w:firstLine="360" w:firstLineChars="200"/>
        <w:jc w:val="left"/>
        <w:rPr>
          <w:rFonts w:ascii="宋体" w:hAnsi="宋体"/>
          <w:sz w:val="18"/>
          <w:szCs w:val="18"/>
        </w:rPr>
      </w:pPr>
      <w:r>
        <w:rPr>
          <w:rFonts w:hint="eastAsia" w:ascii="宋体" w:hAnsi="宋体"/>
          <w:sz w:val="18"/>
          <w:szCs w:val="18"/>
        </w:rPr>
        <w:t>感谢您通过销售机构【】以(□ 直销：产品管理人销售/□ 代销：代理销售机构销售)的形式购买兴银理财有限责任公司（以下简称“兴银理财”）作为产品管理人管理的理财产品。</w:t>
      </w:r>
    </w:p>
    <w:p>
      <w:pPr>
        <w:spacing w:line="320" w:lineRule="exact"/>
        <w:ind w:firstLine="360" w:firstLineChars="200"/>
        <w:jc w:val="left"/>
        <w:rPr>
          <w:rFonts w:ascii="宋体" w:hAnsi="宋体"/>
          <w:sz w:val="18"/>
          <w:szCs w:val="18"/>
        </w:rPr>
      </w:pPr>
      <w:r>
        <w:rPr>
          <w:rFonts w:hint="eastAsia" w:ascii="宋体" w:hAnsi="宋体"/>
          <w:sz w:val="18"/>
          <w:szCs w:val="18"/>
        </w:rPr>
        <w:t>请仔细阅读本《投资者权益须知》，行使您在本业务项下的权益。</w:t>
      </w:r>
      <w:r>
        <w:rPr>
          <w:rFonts w:ascii="宋体" w:hAnsi="宋体"/>
          <w:sz w:val="18"/>
          <w:szCs w:val="18"/>
        </w:rPr>
        <w:t xml:space="preserve"> </w:t>
      </w:r>
    </w:p>
    <w:p>
      <w:pPr>
        <w:ind w:firstLine="361" w:firstLineChars="200"/>
        <w:rPr>
          <w:rFonts w:ascii="宋体" w:hAnsi="宋体"/>
          <w:b/>
          <w:sz w:val="18"/>
          <w:szCs w:val="18"/>
        </w:rPr>
      </w:pPr>
    </w:p>
    <w:p>
      <w:pPr>
        <w:ind w:firstLine="361" w:firstLineChars="200"/>
        <w:rPr>
          <w:rFonts w:ascii="宋体" w:hAnsi="宋体"/>
          <w:b/>
          <w:sz w:val="18"/>
          <w:szCs w:val="18"/>
        </w:rPr>
      </w:pPr>
      <w:r>
        <w:rPr>
          <w:rFonts w:hint="eastAsia" w:ascii="宋体" w:hAnsi="宋体"/>
          <w:b/>
          <w:sz w:val="18"/>
          <w:szCs w:val="18"/>
        </w:rPr>
        <w:t>一、理财产品购买流程</w:t>
      </w:r>
    </w:p>
    <w:p>
      <w:pPr>
        <w:spacing w:line="280" w:lineRule="atLeast"/>
        <w:ind w:firstLine="360" w:firstLineChars="200"/>
        <w:rPr>
          <w:rFonts w:ascii="宋体" w:hAnsi="宋体"/>
          <w:sz w:val="18"/>
          <w:szCs w:val="18"/>
        </w:rPr>
      </w:pPr>
      <w:r>
        <w:rPr>
          <w:rFonts w:hint="eastAsia" w:ascii="宋体" w:hAnsi="宋体"/>
          <w:sz w:val="18"/>
          <w:szCs w:val="18"/>
        </w:rPr>
        <w:t>（一）</w:t>
      </w:r>
      <w:r>
        <w:rPr>
          <w:rFonts w:ascii="宋体" w:hAnsi="宋体"/>
          <w:sz w:val="18"/>
          <w:szCs w:val="18"/>
        </w:rPr>
        <w:t>开立或持有</w:t>
      </w:r>
      <w:r>
        <w:rPr>
          <w:rFonts w:hint="eastAsia" w:ascii="宋体" w:hAnsi="宋体"/>
          <w:sz w:val="18"/>
          <w:szCs w:val="18"/>
        </w:rPr>
        <w:t>销售机构</w:t>
      </w:r>
      <w:r>
        <w:rPr>
          <w:rFonts w:ascii="宋体" w:hAnsi="宋体"/>
          <w:sz w:val="18"/>
          <w:szCs w:val="18"/>
        </w:rPr>
        <w:t>账户，该账户用于本产品的理财资金划转及</w:t>
      </w:r>
      <w:r>
        <w:rPr>
          <w:rFonts w:hint="eastAsia" w:ascii="宋体" w:hAnsi="宋体"/>
          <w:sz w:val="18"/>
          <w:szCs w:val="18"/>
        </w:rPr>
        <w:t>分配</w:t>
      </w:r>
      <w:r>
        <w:rPr>
          <w:rFonts w:ascii="宋体" w:hAnsi="宋体"/>
          <w:sz w:val="18"/>
          <w:szCs w:val="18"/>
        </w:rPr>
        <w:t>，您应确保持有本产品期间所指定账户不做销户。</w:t>
      </w:r>
    </w:p>
    <w:p>
      <w:pPr>
        <w:spacing w:line="280" w:lineRule="atLeast"/>
        <w:ind w:firstLine="360" w:firstLineChars="200"/>
        <w:rPr>
          <w:rFonts w:ascii="宋体" w:hAnsi="宋体"/>
          <w:sz w:val="18"/>
          <w:szCs w:val="18"/>
        </w:rPr>
      </w:pPr>
      <w:r>
        <w:rPr>
          <w:rFonts w:hint="eastAsia" w:ascii="宋体" w:hAnsi="宋体"/>
          <w:sz w:val="18"/>
          <w:szCs w:val="18"/>
        </w:rPr>
        <w:t>（二）</w:t>
      </w:r>
      <w:r>
        <w:rPr>
          <w:rFonts w:ascii="宋体" w:hAnsi="宋体"/>
          <w:sz w:val="18"/>
          <w:szCs w:val="18"/>
        </w:rPr>
        <w:t>接受并完成</w:t>
      </w:r>
      <w:r>
        <w:rPr>
          <w:rFonts w:hint="eastAsia" w:ascii="宋体" w:hAnsi="宋体"/>
          <w:sz w:val="18"/>
          <w:szCs w:val="18"/>
        </w:rPr>
        <w:t>销售机构</w:t>
      </w:r>
      <w:r>
        <w:rPr>
          <w:rFonts w:ascii="宋体" w:hAnsi="宋体"/>
          <w:sz w:val="18"/>
          <w:szCs w:val="18"/>
        </w:rPr>
        <w:t>对您的风险承受能力评估，并根据风险评估结果选择适合的产品。</w:t>
      </w:r>
    </w:p>
    <w:p>
      <w:pPr>
        <w:spacing w:line="280" w:lineRule="atLeast"/>
        <w:ind w:firstLine="360" w:firstLineChars="200"/>
        <w:rPr>
          <w:rFonts w:ascii="宋体" w:hAnsi="宋体"/>
          <w:sz w:val="18"/>
          <w:szCs w:val="18"/>
        </w:rPr>
      </w:pPr>
      <w:r>
        <w:rPr>
          <w:rFonts w:hint="eastAsia" w:ascii="宋体" w:hAnsi="宋体"/>
          <w:sz w:val="18"/>
          <w:szCs w:val="18"/>
        </w:rPr>
        <w:t>（三）</w:t>
      </w:r>
      <w:r>
        <w:rPr>
          <w:rFonts w:ascii="宋体" w:hAnsi="宋体"/>
          <w:sz w:val="18"/>
          <w:szCs w:val="18"/>
        </w:rPr>
        <w:t>请仔细阅读《</w:t>
      </w:r>
      <w:r>
        <w:rPr>
          <w:rFonts w:hint="eastAsia" w:ascii="宋体" w:hAnsi="宋体"/>
          <w:sz w:val="18"/>
          <w:szCs w:val="18"/>
        </w:rPr>
        <w:t>投资</w:t>
      </w:r>
      <w:r>
        <w:rPr>
          <w:rFonts w:ascii="宋体" w:hAnsi="宋体"/>
          <w:sz w:val="18"/>
          <w:szCs w:val="18"/>
        </w:rPr>
        <w:t>协议书》、《产品说明书》、</w:t>
      </w:r>
      <w:r>
        <w:rPr>
          <w:rFonts w:hint="eastAsia" w:ascii="宋体" w:hAnsi="宋体"/>
          <w:sz w:val="18"/>
          <w:szCs w:val="18"/>
        </w:rPr>
        <w:t>《（代理）销售</w:t>
      </w:r>
      <w:r>
        <w:rPr>
          <w:rFonts w:ascii="宋体" w:hAnsi="宋体"/>
          <w:sz w:val="18"/>
          <w:szCs w:val="18"/>
        </w:rPr>
        <w:t>协议书</w:t>
      </w:r>
      <w:r>
        <w:rPr>
          <w:rFonts w:hint="eastAsia" w:ascii="宋体" w:hAnsi="宋体"/>
          <w:sz w:val="18"/>
          <w:szCs w:val="18"/>
        </w:rPr>
        <w:t>》、</w:t>
      </w:r>
      <w:r>
        <w:rPr>
          <w:rFonts w:ascii="宋体" w:hAnsi="宋体"/>
          <w:sz w:val="18"/>
          <w:szCs w:val="18"/>
        </w:rPr>
        <w:t>《风险揭示书》、《投资者权益须知》以及其他有关文件（如有），确认已同意相关内容、充分了解相关风险并无疑问和异议后，签署相关销售文件，并办理购买手续。</w:t>
      </w:r>
    </w:p>
    <w:p>
      <w:pPr>
        <w:spacing w:line="280" w:lineRule="atLeast"/>
        <w:ind w:firstLine="360" w:firstLineChars="200"/>
        <w:rPr>
          <w:rFonts w:ascii="宋体" w:hAnsi="宋体"/>
          <w:sz w:val="18"/>
          <w:szCs w:val="18"/>
        </w:rPr>
      </w:pPr>
      <w:r>
        <w:rPr>
          <w:rFonts w:hint="eastAsia" w:ascii="宋体" w:hAnsi="宋体"/>
          <w:sz w:val="18"/>
          <w:szCs w:val="18"/>
        </w:rPr>
        <w:t>（四）销售机构</w:t>
      </w:r>
      <w:r>
        <w:rPr>
          <w:rFonts w:ascii="宋体" w:hAnsi="宋体"/>
          <w:sz w:val="18"/>
          <w:szCs w:val="18"/>
        </w:rPr>
        <w:t>营业网点或者电子银行（包括但不限于网上银行、电话银行和手机银行）均可办理理财产品的购买手续，但是对于具体理财产品，产品管理人将根据产品风险等级和市场情况自行确定发售渠道。</w:t>
      </w:r>
    </w:p>
    <w:p>
      <w:pPr>
        <w:spacing w:line="280" w:lineRule="atLeast"/>
        <w:ind w:firstLine="361" w:firstLineChars="200"/>
        <w:rPr>
          <w:rFonts w:ascii="宋体" w:hAnsi="宋体"/>
          <w:b/>
          <w:sz w:val="18"/>
          <w:szCs w:val="18"/>
        </w:rPr>
      </w:pPr>
      <w:r>
        <w:rPr>
          <w:rFonts w:hint="eastAsia" w:ascii="宋体" w:hAnsi="宋体"/>
          <w:b/>
          <w:sz w:val="18"/>
          <w:szCs w:val="18"/>
        </w:rPr>
        <w:t>二、投资者风险承受能力与产品风险评级</w:t>
      </w:r>
    </w:p>
    <w:p>
      <w:pPr>
        <w:spacing w:line="280" w:lineRule="atLeast"/>
        <w:ind w:firstLine="360" w:firstLineChars="200"/>
        <w:rPr>
          <w:rFonts w:ascii="宋体" w:hAnsi="宋体"/>
          <w:sz w:val="18"/>
          <w:szCs w:val="18"/>
        </w:rPr>
      </w:pPr>
      <w:r>
        <w:rPr>
          <w:rFonts w:hint="eastAsia" w:ascii="宋体" w:hAnsi="宋体"/>
          <w:sz w:val="18"/>
          <w:szCs w:val="18"/>
        </w:rPr>
        <w:t>鉴于您为金融同业客户，销售机构暂不对您进行风险承受能力评估，请您根据您自身的</w:t>
      </w:r>
      <w:r>
        <w:rPr>
          <w:rFonts w:ascii="宋体" w:hAnsi="宋体"/>
          <w:sz w:val="18"/>
          <w:szCs w:val="18"/>
        </w:rPr>
        <w:t>风险承受能力购买</w:t>
      </w:r>
      <w:r>
        <w:rPr>
          <w:rFonts w:hint="eastAsia" w:ascii="宋体" w:hAnsi="宋体"/>
          <w:sz w:val="18"/>
          <w:szCs w:val="18"/>
        </w:rPr>
        <w:t>产品风险评级适合您的</w:t>
      </w:r>
      <w:r>
        <w:rPr>
          <w:rFonts w:ascii="宋体" w:hAnsi="宋体"/>
          <w:sz w:val="18"/>
          <w:szCs w:val="18"/>
        </w:rPr>
        <w:t>理财产品</w:t>
      </w:r>
      <w:r>
        <w:rPr>
          <w:rFonts w:hint="eastAsia" w:ascii="宋体" w:hAnsi="宋体"/>
          <w:sz w:val="18"/>
          <w:szCs w:val="18"/>
        </w:rPr>
        <w:t>。</w:t>
      </w:r>
    </w:p>
    <w:p>
      <w:pPr>
        <w:ind w:firstLine="361" w:firstLineChars="200"/>
        <w:rPr>
          <w:rFonts w:ascii="宋体" w:hAnsi="宋体"/>
          <w:b/>
          <w:sz w:val="18"/>
          <w:szCs w:val="18"/>
        </w:rPr>
      </w:pPr>
      <w:r>
        <w:rPr>
          <w:rFonts w:hint="eastAsia" w:ascii="宋体" w:hAnsi="宋体"/>
          <w:b/>
          <w:sz w:val="18"/>
          <w:szCs w:val="18"/>
        </w:rPr>
        <w:t>三、关于理财产品的信息披露</w:t>
      </w:r>
    </w:p>
    <w:p>
      <w:pPr>
        <w:spacing w:line="280" w:lineRule="atLeast"/>
        <w:ind w:firstLine="360" w:firstLineChars="200"/>
        <w:rPr>
          <w:rFonts w:asciiTheme="minorEastAsia" w:hAnsiTheme="minorEastAsia"/>
          <w:sz w:val="18"/>
          <w:szCs w:val="18"/>
        </w:rPr>
      </w:pPr>
      <w:r>
        <w:rPr>
          <w:rFonts w:hint="eastAsia" w:asciiTheme="minorEastAsia" w:hAnsiTheme="minorEastAsia"/>
          <w:sz w:val="18"/>
          <w:szCs w:val="18"/>
        </w:rPr>
        <w:t>理财产品的信息披露将通过兴业</w:t>
      </w:r>
      <w:r>
        <w:rPr>
          <w:rFonts w:asciiTheme="minorEastAsia" w:hAnsiTheme="minorEastAsia"/>
          <w:sz w:val="18"/>
          <w:szCs w:val="18"/>
        </w:rPr>
        <w:t>银行</w:t>
      </w:r>
      <w:r>
        <w:rPr>
          <w:rFonts w:hint="eastAsia" w:asciiTheme="minorEastAsia" w:hAnsiTheme="minorEastAsia"/>
          <w:sz w:val="18"/>
          <w:szCs w:val="18"/>
        </w:rPr>
        <w:t>或销售机构</w:t>
      </w:r>
      <w:r>
        <w:rPr>
          <w:rFonts w:hint="eastAsia" w:ascii="宋体" w:hAnsi="宋体"/>
          <w:bCs/>
          <w:sz w:val="18"/>
          <w:szCs w:val="18"/>
        </w:rPr>
        <w:t>的信息披露渠道（包括但不限于兴业</w:t>
      </w:r>
      <w:r>
        <w:rPr>
          <w:rFonts w:ascii="宋体" w:hAnsi="宋体"/>
          <w:bCs/>
          <w:sz w:val="18"/>
          <w:szCs w:val="18"/>
        </w:rPr>
        <w:t>银行</w:t>
      </w:r>
      <w:r>
        <w:rPr>
          <w:rFonts w:hint="eastAsia" w:ascii="宋体" w:hAnsi="宋体"/>
          <w:bCs/>
          <w:sz w:val="18"/>
          <w:szCs w:val="18"/>
        </w:rPr>
        <w:t>或销售机构的营业网点、门户网站、电子销售渠道等）进行。</w:t>
      </w:r>
      <w:r>
        <w:rPr>
          <w:rFonts w:asciiTheme="minorEastAsia" w:hAnsiTheme="minorEastAsia"/>
          <w:sz w:val="18"/>
          <w:szCs w:val="18"/>
        </w:rPr>
        <w:t>具体</w:t>
      </w:r>
      <w:r>
        <w:rPr>
          <w:rFonts w:hint="eastAsia" w:asciiTheme="minorEastAsia" w:hAnsiTheme="minorEastAsia"/>
          <w:sz w:val="18"/>
          <w:szCs w:val="18"/>
        </w:rPr>
        <w:t>信息披露内容</w:t>
      </w:r>
      <w:r>
        <w:rPr>
          <w:rFonts w:asciiTheme="minorEastAsia" w:hAnsiTheme="minorEastAsia"/>
          <w:sz w:val="18"/>
          <w:szCs w:val="18"/>
        </w:rPr>
        <w:t>以《产品说明书》中“信息披露</w:t>
      </w:r>
      <w:r>
        <w:rPr>
          <w:rFonts w:hint="eastAsia" w:asciiTheme="minorEastAsia" w:hAnsiTheme="minorEastAsia"/>
          <w:sz w:val="18"/>
          <w:szCs w:val="18"/>
        </w:rPr>
        <w:t xml:space="preserve">”约定为准。  </w:t>
      </w:r>
    </w:p>
    <w:p>
      <w:pPr>
        <w:ind w:firstLine="361" w:firstLineChars="200"/>
        <w:rPr>
          <w:rFonts w:asciiTheme="minorEastAsia" w:hAnsiTheme="minorEastAsia"/>
          <w:b/>
          <w:bCs/>
          <w:sz w:val="18"/>
          <w:szCs w:val="18"/>
        </w:rPr>
      </w:pPr>
      <w:r>
        <w:rPr>
          <w:rFonts w:hint="eastAsia" w:ascii="宋体" w:hAnsi="宋体"/>
          <w:b/>
          <w:bCs/>
          <w:sz w:val="18"/>
          <w:szCs w:val="18"/>
        </w:rPr>
        <w:t>四、关于投诉与建议</w:t>
      </w:r>
    </w:p>
    <w:p>
      <w:pPr>
        <w:spacing w:line="280" w:lineRule="atLeast"/>
        <w:ind w:firstLine="360" w:firstLineChars="200"/>
        <w:rPr>
          <w:rFonts w:ascii="宋体" w:hAnsi="宋体"/>
          <w:sz w:val="18"/>
          <w:szCs w:val="18"/>
        </w:rPr>
      </w:pPr>
      <w:r>
        <w:rPr>
          <w:rFonts w:hint="eastAsia" w:ascii="宋体" w:hAnsi="宋体"/>
          <w:sz w:val="18"/>
          <w:szCs w:val="18"/>
        </w:rPr>
        <w:t>（一）</w:t>
      </w:r>
      <w:r>
        <w:rPr>
          <w:rFonts w:hint="eastAsia" w:asciiTheme="minorEastAsia" w:hAnsiTheme="minorEastAsia"/>
          <w:sz w:val="18"/>
          <w:szCs w:val="18"/>
        </w:rPr>
        <w:t>您对本产品有任何意见或异议，可向产品管理人或</w:t>
      </w:r>
      <w:r>
        <w:rPr>
          <w:rFonts w:hint="eastAsia" w:ascii="宋体" w:hAnsi="宋体"/>
          <w:sz w:val="18"/>
          <w:szCs w:val="18"/>
        </w:rPr>
        <w:t>销售机构</w:t>
      </w:r>
      <w:r>
        <w:rPr>
          <w:rFonts w:hint="eastAsia" w:asciiTheme="minorEastAsia" w:hAnsiTheme="minorEastAsia"/>
          <w:sz w:val="18"/>
          <w:szCs w:val="18"/>
        </w:rPr>
        <w:t>反馈</w:t>
      </w:r>
      <w:r>
        <w:rPr>
          <w:rFonts w:hint="eastAsia" w:ascii="宋体" w:hAnsi="宋体"/>
          <w:sz w:val="18"/>
          <w:szCs w:val="18"/>
        </w:rPr>
        <w:t>，产品管理人或销售机构将由专人接听、记录您的意见或建议，并由各方协商共同解决。</w:t>
      </w:r>
    </w:p>
    <w:p>
      <w:pPr>
        <w:spacing w:line="280" w:lineRule="atLeast"/>
        <w:ind w:firstLine="360" w:firstLineChars="200"/>
        <w:rPr>
          <w:rFonts w:ascii="宋体" w:hAnsi="宋体"/>
          <w:sz w:val="18"/>
          <w:szCs w:val="18"/>
        </w:rPr>
      </w:pPr>
      <w:r>
        <w:rPr>
          <w:rFonts w:hint="eastAsia" w:ascii="宋体" w:hAnsi="宋体"/>
          <w:sz w:val="18"/>
          <w:szCs w:val="18"/>
        </w:rPr>
        <w:t>（二）联络方式：</w:t>
      </w:r>
    </w:p>
    <w:p>
      <w:pPr>
        <w:ind w:firstLine="360" w:firstLineChars="200"/>
        <w:rPr>
          <w:rFonts w:ascii="宋体" w:hAnsi="宋体"/>
          <w:sz w:val="18"/>
          <w:szCs w:val="18"/>
        </w:rPr>
      </w:pPr>
      <w:r>
        <w:rPr>
          <w:rFonts w:hint="eastAsia" w:ascii="宋体" w:hAnsi="宋体"/>
          <w:sz w:val="18"/>
          <w:szCs w:val="18"/>
        </w:rPr>
        <w:t>兴银理财客户服务热线：40015-95561。</w:t>
      </w:r>
    </w:p>
    <w:p>
      <w:pPr>
        <w:spacing w:line="280" w:lineRule="atLeast"/>
        <w:ind w:firstLine="360" w:firstLineChars="200"/>
        <w:rPr>
          <w:rFonts w:ascii="宋体" w:hAnsi="宋体"/>
          <w:sz w:val="18"/>
          <w:szCs w:val="18"/>
        </w:rPr>
      </w:pPr>
      <w:r>
        <w:rPr>
          <w:rFonts w:hint="eastAsia" w:ascii="宋体" w:hAnsi="宋体"/>
          <w:sz w:val="18"/>
          <w:szCs w:val="18"/>
        </w:rPr>
        <w:t>通过兴业银行（作为销售机构）购</w:t>
      </w:r>
      <w:r>
        <w:rPr>
          <w:rFonts w:ascii="宋体" w:hAnsi="宋体"/>
          <w:sz w:val="18"/>
          <w:szCs w:val="18"/>
        </w:rPr>
        <w:t>买本产品的</w:t>
      </w:r>
      <w:r>
        <w:rPr>
          <w:rFonts w:hint="eastAsia" w:ascii="宋体" w:hAnsi="宋体"/>
          <w:sz w:val="18"/>
          <w:szCs w:val="18"/>
        </w:rPr>
        <w:t>，</w:t>
      </w:r>
      <w:r>
        <w:rPr>
          <w:rFonts w:ascii="宋体" w:hAnsi="宋体"/>
          <w:sz w:val="18"/>
          <w:szCs w:val="18"/>
        </w:rPr>
        <w:t>请联系兴业银行</w:t>
      </w:r>
      <w:r>
        <w:rPr>
          <w:rFonts w:hint="eastAsia" w:ascii="宋体" w:hAnsi="宋体"/>
          <w:sz w:val="18"/>
          <w:szCs w:val="18"/>
        </w:rPr>
        <w:t>，兴业银行客户服务热线：【</w:t>
      </w:r>
      <w:r>
        <w:rPr>
          <w:rFonts w:asciiTheme="minorEastAsia" w:hAnsiTheme="minorEastAsia"/>
          <w:sz w:val="18"/>
          <w:szCs w:val="18"/>
        </w:rPr>
        <w:t>95561</w:t>
      </w:r>
      <w:r>
        <w:rPr>
          <w:rFonts w:hint="eastAsia" w:ascii="宋体" w:hAnsi="宋体"/>
          <w:sz w:val="18"/>
          <w:szCs w:val="18"/>
        </w:rPr>
        <w:t>】；兴业银行门户网站：【</w:t>
      </w:r>
      <w:r>
        <w:rPr>
          <w:rFonts w:asciiTheme="minorEastAsia" w:hAnsiTheme="minorEastAsia"/>
          <w:sz w:val="18"/>
          <w:szCs w:val="18"/>
        </w:rPr>
        <w:t>www.cib.com.cn</w:t>
      </w:r>
      <w:r>
        <w:rPr>
          <w:rFonts w:hint="eastAsia" w:ascii="宋体" w:hAnsi="宋体"/>
          <w:sz w:val="18"/>
          <w:szCs w:val="18"/>
        </w:rPr>
        <w:t>】。</w:t>
      </w:r>
    </w:p>
    <w:p>
      <w:pPr>
        <w:ind w:firstLine="360" w:firstLineChars="200"/>
        <w:rPr>
          <w:rFonts w:ascii="宋体" w:hAnsi="宋体"/>
          <w:sz w:val="18"/>
          <w:szCs w:val="18"/>
        </w:rPr>
      </w:pPr>
      <w:r>
        <w:rPr>
          <w:rFonts w:hint="eastAsia" w:ascii="宋体" w:hAnsi="宋体"/>
          <w:sz w:val="18"/>
          <w:szCs w:val="18"/>
        </w:rPr>
        <w:t>通过【        】（作为销售机构）购买本产品的，请联系【            】，【          】客户服务热线：【           】；【          】门户网站：【                  】。</w:t>
      </w:r>
    </w:p>
    <w:p/>
    <w:p>
      <w:pPr>
        <w:spacing w:line="360" w:lineRule="auto"/>
        <w:jc w:val="left"/>
        <w:rPr>
          <w:rFonts w:hint="eastAsia" w:ascii="宋体" w:hAnsi="宋体"/>
          <w:b/>
          <w:sz w:val="18"/>
          <w:szCs w:val="18"/>
        </w:rPr>
      </w:pPr>
    </w:p>
    <w:sectPr>
      <w:headerReference r:id="rId15" w:type="default"/>
      <w:footerReference r:id="rId16" w:type="default"/>
      <w:pgSz w:w="11906" w:h="16838"/>
      <w:pgMar w:top="1440" w:right="1800" w:bottom="1440" w:left="1800" w:header="851" w:footer="992"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Cambria">
    <w:panose1 w:val="02040503050406030204"/>
    <w:charset w:val="00"/>
    <w:family w:val="roman"/>
    <w:pitch w:val="default"/>
    <w:sig w:usb0="E00002FF" w:usb1="400004FF" w:usb2="00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854872"/>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w:t>
        </w:r>
        <w:r>
          <w:rPr>
            <w:lang w:val="zh-CN"/>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9</w:t>
    </w:r>
    <w:r>
      <w:rPr>
        <w:kern w:val="0"/>
        <w:szCs w:val="21"/>
      </w:rPr>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9</w:t>
    </w:r>
    <w:r>
      <w:rPr>
        <w:kern w:val="0"/>
        <w:szCs w:val="21"/>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5</w:t>
        </w:r>
        <w:r>
          <w:fldChar w:fldCharType="end"/>
        </w:r>
      </w:p>
    </w:sdtContent>
  </w:sdt>
  <w:p>
    <w:pPr>
      <w:pStyle w:val="1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63017656"/>
    </w:sdtPr>
    <w:sdtContent>
      <w:p>
        <w:pPr>
          <w:pStyle w:val="14"/>
          <w:jc w:val="center"/>
        </w:pPr>
        <w:r>
          <w:fldChar w:fldCharType="begin"/>
        </w:r>
        <w:r>
          <w:instrText xml:space="preserve">PAGE   \* MERGEFORMAT</w:instrText>
        </w:r>
        <w:r>
          <w:fldChar w:fldCharType="separate"/>
        </w:r>
        <w:r>
          <w:rPr>
            <w:lang w:val="zh-CN"/>
          </w:rPr>
          <w:t>5</w:t>
        </w:r>
        <w:r>
          <w:fldChar w:fldCharType="end"/>
        </w:r>
      </w:p>
    </w:sdtContent>
  </w:sdt>
  <w:p>
    <w:pPr>
      <w:pStyle w:val="14"/>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03202528"/>
    </w:sdtPr>
    <w:sdtContent>
      <w:p>
        <w:pPr>
          <w:pStyle w:val="14"/>
          <w:jc w:val="center"/>
        </w:pPr>
        <w:r>
          <w:rPr>
            <w:rFonts w:hint="eastAsia"/>
          </w:rPr>
          <w:t>第</w:t>
        </w:r>
        <w:r>
          <w:fldChar w:fldCharType="begin"/>
        </w:r>
        <w:r>
          <w:instrText xml:space="preserve">PAGE   \* MERGEFORMAT</w:instrText>
        </w:r>
        <w:r>
          <w:fldChar w:fldCharType="separate"/>
        </w:r>
        <w:r>
          <w:rPr>
            <w:lang w:val="zh-CN"/>
          </w:rPr>
          <w:t>1</w:t>
        </w:r>
        <w:r>
          <w:fldChar w:fldCharType="end"/>
        </w:r>
        <w:r>
          <w:rPr>
            <w:rFonts w:hint="eastAsia"/>
          </w:rPr>
          <w:t>页</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b/>
      </w:rPr>
      <w:t>投资协议书</w:t>
    </w:r>
  </w:p>
  <w:p>
    <w:pPr>
      <w:pStyle w:val="15"/>
      <w:pBdr>
        <w:bottom w:val="thickThinLargeGap" w:color="auto" w:sz="24" w:space="10"/>
      </w:pBdr>
      <w:tabs>
        <w:tab w:val="right" w:pos="8280"/>
      </w:tabs>
      <w:wordWrap w:val="0"/>
      <w:adjustRightInd w:val="0"/>
      <w:jc w:val="right"/>
      <w:rPr>
        <w:b/>
      </w:rPr>
    </w:pPr>
    <w:r>
      <w:rPr>
        <w:rFonts w:hint="eastAsia"/>
        <w:b/>
      </w:rPr>
      <w:t>注：本文件由兴银理财有限责任公司统一编制</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jc w:val="right"/>
      <w:rPr>
        <w:b/>
      </w:rPr>
    </w:pPr>
    <w:r>
      <w:rPr>
        <w:rFonts w:hint="eastAsia"/>
      </w:rPr>
      <w:t xml:space="preserve">                             </w:t>
    </w:r>
    <w:r>
      <w:t xml:space="preserve">    </w:t>
    </w:r>
    <w:r>
      <w:rPr>
        <w:rFonts w:hint="eastAsia"/>
      </w:rPr>
      <w:t xml:space="preserve"> </w:t>
    </w:r>
    <w:r>
      <w:t xml:space="preserve">                        </w:t>
    </w:r>
    <w:r>
      <w:rPr>
        <w:rFonts w:hint="eastAsia"/>
      </w:rPr>
      <w:t xml:space="preserve">  </w:t>
    </w:r>
    <w:r>
      <w:rPr>
        <w:b/>
      </w:rPr>
      <w:t xml:space="preserve">  </w:t>
    </w:r>
    <w:r>
      <w:rPr>
        <w:rFonts w:hint="eastAsia"/>
        <w:b/>
      </w:rPr>
      <w:t>（代理）销售协议书</w:t>
    </w:r>
  </w:p>
  <w:p>
    <w:pPr>
      <w:pStyle w:val="15"/>
      <w:pBdr>
        <w:bottom w:val="thickThinLargeGap" w:color="auto" w:sz="24" w:space="10"/>
      </w:pBdr>
      <w:tabs>
        <w:tab w:val="right" w:pos="8280"/>
      </w:tabs>
      <w:wordWrap w:val="0"/>
      <w:adjustRightInd w:val="0"/>
      <w:jc w:val="right"/>
      <w:rPr>
        <w:b/>
      </w:rPr>
    </w:pPr>
    <w:r>
      <w:rPr>
        <w:rFonts w:hint="eastAsia"/>
        <w:b/>
      </w:rPr>
      <w:t>本文件由兴银理财有限责任公司统一编制</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风险揭示书</w:t>
    </w:r>
  </w:p>
  <w:p>
    <w:pPr>
      <w:pStyle w:val="15"/>
      <w:pBdr>
        <w:bottom w:val="thickThinLargeGap" w:color="auto" w:sz="24" w:space="10"/>
      </w:pBdr>
      <w:tabs>
        <w:tab w:val="right" w:pos="8280"/>
      </w:tabs>
      <w:wordWrap w:val="0"/>
      <w:adjustRightInd w:val="0"/>
      <w:ind w:firstLine="180" w:firstLineChars="100"/>
      <w:jc w:val="right"/>
    </w:pPr>
    <w:r>
      <w:t>注</w:t>
    </w:r>
    <w:r>
      <w:rPr>
        <w:rFonts w:hint="eastAsia"/>
      </w:rPr>
      <w:t>：</w:t>
    </w:r>
    <w:r>
      <w:t>本文件由兴银理财有限责任公司统一编制</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0"/>
      </w:pBdr>
      <w:tabs>
        <w:tab w:val="right" w:pos="8280"/>
      </w:tabs>
      <w:wordWrap w:val="0"/>
      <w:adjustRightInd w:val="0"/>
      <w:ind w:firstLine="180" w:firstLineChars="100"/>
      <w:jc w:val="right"/>
    </w:pPr>
    <w:r>
      <w:rPr>
        <w:rFonts w:hint="eastAsia"/>
      </w:rPr>
      <w:t>投资者权益须知</w:t>
    </w:r>
  </w:p>
  <w:p>
    <w:pPr>
      <w:pStyle w:val="15"/>
      <w:pBdr>
        <w:bottom w:val="thickThinLargeGap" w:color="auto" w:sz="24" w:space="10"/>
      </w:pBdr>
      <w:tabs>
        <w:tab w:val="right" w:pos="8280"/>
      </w:tabs>
      <w:wordWrap w:val="0"/>
      <w:adjustRightInd w:val="0"/>
      <w:ind w:firstLine="181" w:firstLineChars="100"/>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166F"/>
    <w:rsid w:val="00042221"/>
    <w:rsid w:val="00042E95"/>
    <w:rsid w:val="00045C60"/>
    <w:rsid w:val="00045FF7"/>
    <w:rsid w:val="00055256"/>
    <w:rsid w:val="00055E1D"/>
    <w:rsid w:val="00060AA2"/>
    <w:rsid w:val="0006286C"/>
    <w:rsid w:val="00063E11"/>
    <w:rsid w:val="00065143"/>
    <w:rsid w:val="00067E29"/>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5F0B"/>
    <w:rsid w:val="000C66F8"/>
    <w:rsid w:val="000C6CA3"/>
    <w:rsid w:val="000D7C5B"/>
    <w:rsid w:val="000E4739"/>
    <w:rsid w:val="000F16C0"/>
    <w:rsid w:val="000F18A0"/>
    <w:rsid w:val="000F4555"/>
    <w:rsid w:val="000F4EBB"/>
    <w:rsid w:val="000F7F68"/>
    <w:rsid w:val="0010450A"/>
    <w:rsid w:val="00105DB2"/>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B3D1B"/>
    <w:rsid w:val="001C2E83"/>
    <w:rsid w:val="001C5549"/>
    <w:rsid w:val="001C5FB8"/>
    <w:rsid w:val="001C627B"/>
    <w:rsid w:val="001C6A43"/>
    <w:rsid w:val="001D33CF"/>
    <w:rsid w:val="001D5339"/>
    <w:rsid w:val="001D6D21"/>
    <w:rsid w:val="001E0B5B"/>
    <w:rsid w:val="001E22BC"/>
    <w:rsid w:val="001E48F3"/>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0B5E"/>
    <w:rsid w:val="0023600D"/>
    <w:rsid w:val="00241D65"/>
    <w:rsid w:val="00244658"/>
    <w:rsid w:val="002464CF"/>
    <w:rsid w:val="002476E6"/>
    <w:rsid w:val="00252AD2"/>
    <w:rsid w:val="00253D3F"/>
    <w:rsid w:val="002544CB"/>
    <w:rsid w:val="00256159"/>
    <w:rsid w:val="00257D80"/>
    <w:rsid w:val="002632C7"/>
    <w:rsid w:val="00263D71"/>
    <w:rsid w:val="00267780"/>
    <w:rsid w:val="002719C4"/>
    <w:rsid w:val="00276547"/>
    <w:rsid w:val="002819AA"/>
    <w:rsid w:val="00284C82"/>
    <w:rsid w:val="00287678"/>
    <w:rsid w:val="00287D6F"/>
    <w:rsid w:val="00294417"/>
    <w:rsid w:val="0029567E"/>
    <w:rsid w:val="002A31A8"/>
    <w:rsid w:val="002A571E"/>
    <w:rsid w:val="002A599B"/>
    <w:rsid w:val="002A72B3"/>
    <w:rsid w:val="002B2076"/>
    <w:rsid w:val="002B2E59"/>
    <w:rsid w:val="002B30E7"/>
    <w:rsid w:val="002B3DF5"/>
    <w:rsid w:val="002B659B"/>
    <w:rsid w:val="002B661B"/>
    <w:rsid w:val="002C13C1"/>
    <w:rsid w:val="002C27E7"/>
    <w:rsid w:val="002C3012"/>
    <w:rsid w:val="002C7D8E"/>
    <w:rsid w:val="002D121A"/>
    <w:rsid w:val="002D407E"/>
    <w:rsid w:val="002E2C93"/>
    <w:rsid w:val="002E388A"/>
    <w:rsid w:val="002E6E2C"/>
    <w:rsid w:val="002F1BB8"/>
    <w:rsid w:val="002F1C19"/>
    <w:rsid w:val="002F228E"/>
    <w:rsid w:val="002F3164"/>
    <w:rsid w:val="002F467D"/>
    <w:rsid w:val="002F5D80"/>
    <w:rsid w:val="002F6D00"/>
    <w:rsid w:val="002F7889"/>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18D3"/>
    <w:rsid w:val="00344E98"/>
    <w:rsid w:val="0034626E"/>
    <w:rsid w:val="0034787C"/>
    <w:rsid w:val="00350783"/>
    <w:rsid w:val="003513BE"/>
    <w:rsid w:val="003523CE"/>
    <w:rsid w:val="0035402A"/>
    <w:rsid w:val="003540B3"/>
    <w:rsid w:val="003606ED"/>
    <w:rsid w:val="00360EE3"/>
    <w:rsid w:val="0036147F"/>
    <w:rsid w:val="00363B81"/>
    <w:rsid w:val="00363C20"/>
    <w:rsid w:val="00365749"/>
    <w:rsid w:val="00366930"/>
    <w:rsid w:val="00367846"/>
    <w:rsid w:val="0037284F"/>
    <w:rsid w:val="00376B22"/>
    <w:rsid w:val="003873DE"/>
    <w:rsid w:val="0039164E"/>
    <w:rsid w:val="00391C13"/>
    <w:rsid w:val="003928B0"/>
    <w:rsid w:val="00395E69"/>
    <w:rsid w:val="0039705F"/>
    <w:rsid w:val="003A2822"/>
    <w:rsid w:val="003B03E1"/>
    <w:rsid w:val="003B465C"/>
    <w:rsid w:val="003B63C9"/>
    <w:rsid w:val="003B6F46"/>
    <w:rsid w:val="003C216F"/>
    <w:rsid w:val="003C5027"/>
    <w:rsid w:val="003C65EC"/>
    <w:rsid w:val="003D3AA5"/>
    <w:rsid w:val="003D59C7"/>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0C16"/>
    <w:rsid w:val="00431E1F"/>
    <w:rsid w:val="00435E5C"/>
    <w:rsid w:val="00436CF2"/>
    <w:rsid w:val="00437361"/>
    <w:rsid w:val="00444664"/>
    <w:rsid w:val="00444AD5"/>
    <w:rsid w:val="00445CFA"/>
    <w:rsid w:val="00446FBB"/>
    <w:rsid w:val="0045304A"/>
    <w:rsid w:val="004530E2"/>
    <w:rsid w:val="0045487E"/>
    <w:rsid w:val="0045508F"/>
    <w:rsid w:val="00460B00"/>
    <w:rsid w:val="004628A2"/>
    <w:rsid w:val="00467615"/>
    <w:rsid w:val="004727C4"/>
    <w:rsid w:val="00477E43"/>
    <w:rsid w:val="00481A9B"/>
    <w:rsid w:val="00483EB5"/>
    <w:rsid w:val="004875C3"/>
    <w:rsid w:val="004918BC"/>
    <w:rsid w:val="00493B96"/>
    <w:rsid w:val="004946EF"/>
    <w:rsid w:val="004973D1"/>
    <w:rsid w:val="004A23D9"/>
    <w:rsid w:val="004A3FA4"/>
    <w:rsid w:val="004A5131"/>
    <w:rsid w:val="004A7454"/>
    <w:rsid w:val="004B03B2"/>
    <w:rsid w:val="004B3210"/>
    <w:rsid w:val="004B3302"/>
    <w:rsid w:val="004B3AF7"/>
    <w:rsid w:val="004B6C04"/>
    <w:rsid w:val="004C1C32"/>
    <w:rsid w:val="004C23FF"/>
    <w:rsid w:val="004C2E33"/>
    <w:rsid w:val="004C39B2"/>
    <w:rsid w:val="004C3F33"/>
    <w:rsid w:val="004C5C67"/>
    <w:rsid w:val="004E08AE"/>
    <w:rsid w:val="004E3E74"/>
    <w:rsid w:val="004E4588"/>
    <w:rsid w:val="004E61D4"/>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1201"/>
    <w:rsid w:val="006C14BB"/>
    <w:rsid w:val="006C7443"/>
    <w:rsid w:val="006D1109"/>
    <w:rsid w:val="006D4A61"/>
    <w:rsid w:val="006D57B9"/>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16FB0"/>
    <w:rsid w:val="00720B3A"/>
    <w:rsid w:val="007216E0"/>
    <w:rsid w:val="007219F7"/>
    <w:rsid w:val="007228C1"/>
    <w:rsid w:val="0072493C"/>
    <w:rsid w:val="00726D7A"/>
    <w:rsid w:val="00731391"/>
    <w:rsid w:val="00731CC4"/>
    <w:rsid w:val="00737544"/>
    <w:rsid w:val="00737E91"/>
    <w:rsid w:val="00741156"/>
    <w:rsid w:val="0074401B"/>
    <w:rsid w:val="00744F5D"/>
    <w:rsid w:val="007512CC"/>
    <w:rsid w:val="007567D7"/>
    <w:rsid w:val="00757C87"/>
    <w:rsid w:val="0076256C"/>
    <w:rsid w:val="00764FE5"/>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766D"/>
    <w:rsid w:val="007A77DC"/>
    <w:rsid w:val="007B06AA"/>
    <w:rsid w:val="007B1080"/>
    <w:rsid w:val="007B131A"/>
    <w:rsid w:val="007B3FDA"/>
    <w:rsid w:val="007B5733"/>
    <w:rsid w:val="007B58B4"/>
    <w:rsid w:val="007C0897"/>
    <w:rsid w:val="007D30F3"/>
    <w:rsid w:val="007D5721"/>
    <w:rsid w:val="007E0F86"/>
    <w:rsid w:val="007E1220"/>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7723"/>
    <w:rsid w:val="00830913"/>
    <w:rsid w:val="00833DA0"/>
    <w:rsid w:val="0084117B"/>
    <w:rsid w:val="00842ECC"/>
    <w:rsid w:val="00844C52"/>
    <w:rsid w:val="00844FAC"/>
    <w:rsid w:val="008469F4"/>
    <w:rsid w:val="00847D06"/>
    <w:rsid w:val="008526AD"/>
    <w:rsid w:val="00852A74"/>
    <w:rsid w:val="0085467A"/>
    <w:rsid w:val="00855E29"/>
    <w:rsid w:val="00856912"/>
    <w:rsid w:val="00862721"/>
    <w:rsid w:val="00863B57"/>
    <w:rsid w:val="00870710"/>
    <w:rsid w:val="00871266"/>
    <w:rsid w:val="00871450"/>
    <w:rsid w:val="008739A5"/>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E7246"/>
    <w:rsid w:val="008F0E09"/>
    <w:rsid w:val="008F14E7"/>
    <w:rsid w:val="008F24C8"/>
    <w:rsid w:val="00905340"/>
    <w:rsid w:val="0090798A"/>
    <w:rsid w:val="00907AEC"/>
    <w:rsid w:val="00911B78"/>
    <w:rsid w:val="009122AA"/>
    <w:rsid w:val="00914791"/>
    <w:rsid w:val="00925A17"/>
    <w:rsid w:val="00927AE1"/>
    <w:rsid w:val="0093239E"/>
    <w:rsid w:val="00933BBA"/>
    <w:rsid w:val="00933D38"/>
    <w:rsid w:val="00944C6F"/>
    <w:rsid w:val="00947DAA"/>
    <w:rsid w:val="0095255D"/>
    <w:rsid w:val="00952B18"/>
    <w:rsid w:val="0095365B"/>
    <w:rsid w:val="0095500C"/>
    <w:rsid w:val="0095516F"/>
    <w:rsid w:val="009559AB"/>
    <w:rsid w:val="00961CD3"/>
    <w:rsid w:val="0096677D"/>
    <w:rsid w:val="0097370D"/>
    <w:rsid w:val="00975F48"/>
    <w:rsid w:val="009768D0"/>
    <w:rsid w:val="0097776B"/>
    <w:rsid w:val="00977B2B"/>
    <w:rsid w:val="00977C61"/>
    <w:rsid w:val="00983DF9"/>
    <w:rsid w:val="00987518"/>
    <w:rsid w:val="00993714"/>
    <w:rsid w:val="00994B4D"/>
    <w:rsid w:val="009969BB"/>
    <w:rsid w:val="009A14A5"/>
    <w:rsid w:val="009A42BC"/>
    <w:rsid w:val="009B0C9E"/>
    <w:rsid w:val="009B1C9C"/>
    <w:rsid w:val="009B2C85"/>
    <w:rsid w:val="009B5BC2"/>
    <w:rsid w:val="009C2069"/>
    <w:rsid w:val="009C521A"/>
    <w:rsid w:val="009C6F8E"/>
    <w:rsid w:val="009D63B0"/>
    <w:rsid w:val="009D7AA0"/>
    <w:rsid w:val="009E371D"/>
    <w:rsid w:val="009E4C02"/>
    <w:rsid w:val="009E5E1C"/>
    <w:rsid w:val="009E6DAE"/>
    <w:rsid w:val="009F1537"/>
    <w:rsid w:val="009F29D8"/>
    <w:rsid w:val="009F4C90"/>
    <w:rsid w:val="009F759C"/>
    <w:rsid w:val="009F7CF8"/>
    <w:rsid w:val="00A11CB0"/>
    <w:rsid w:val="00A129DD"/>
    <w:rsid w:val="00A17171"/>
    <w:rsid w:val="00A21427"/>
    <w:rsid w:val="00A21A6C"/>
    <w:rsid w:val="00A229C4"/>
    <w:rsid w:val="00A25383"/>
    <w:rsid w:val="00A26C04"/>
    <w:rsid w:val="00A34AC8"/>
    <w:rsid w:val="00A401DA"/>
    <w:rsid w:val="00A4447E"/>
    <w:rsid w:val="00A445F8"/>
    <w:rsid w:val="00A4489D"/>
    <w:rsid w:val="00A44FB2"/>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6276"/>
    <w:rsid w:val="00B606E5"/>
    <w:rsid w:val="00B606E6"/>
    <w:rsid w:val="00B61A35"/>
    <w:rsid w:val="00B70428"/>
    <w:rsid w:val="00B70DB8"/>
    <w:rsid w:val="00B72632"/>
    <w:rsid w:val="00B73C10"/>
    <w:rsid w:val="00B74A78"/>
    <w:rsid w:val="00B74F12"/>
    <w:rsid w:val="00B75AC5"/>
    <w:rsid w:val="00B76971"/>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27BF"/>
    <w:rsid w:val="00C550E2"/>
    <w:rsid w:val="00C561B4"/>
    <w:rsid w:val="00C569F3"/>
    <w:rsid w:val="00C57F3A"/>
    <w:rsid w:val="00C6524D"/>
    <w:rsid w:val="00C6577D"/>
    <w:rsid w:val="00C66942"/>
    <w:rsid w:val="00C80014"/>
    <w:rsid w:val="00C80B19"/>
    <w:rsid w:val="00C90BFF"/>
    <w:rsid w:val="00C9379A"/>
    <w:rsid w:val="00C97F28"/>
    <w:rsid w:val="00CA42AB"/>
    <w:rsid w:val="00CA504C"/>
    <w:rsid w:val="00CA767B"/>
    <w:rsid w:val="00CB118D"/>
    <w:rsid w:val="00CB24A2"/>
    <w:rsid w:val="00CC153D"/>
    <w:rsid w:val="00CC4E71"/>
    <w:rsid w:val="00CC5DA1"/>
    <w:rsid w:val="00CD1A38"/>
    <w:rsid w:val="00CD1ED6"/>
    <w:rsid w:val="00CD4530"/>
    <w:rsid w:val="00CE04EA"/>
    <w:rsid w:val="00CE21A3"/>
    <w:rsid w:val="00CE242E"/>
    <w:rsid w:val="00CE3D7D"/>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2526"/>
    <w:rsid w:val="00D9748A"/>
    <w:rsid w:val="00DA43E0"/>
    <w:rsid w:val="00DA5A27"/>
    <w:rsid w:val="00DA78A9"/>
    <w:rsid w:val="00DA7A2B"/>
    <w:rsid w:val="00DB201C"/>
    <w:rsid w:val="00DB2DB0"/>
    <w:rsid w:val="00DB3857"/>
    <w:rsid w:val="00DB44A2"/>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2287"/>
    <w:rsid w:val="00E12F7F"/>
    <w:rsid w:val="00E1770C"/>
    <w:rsid w:val="00E22677"/>
    <w:rsid w:val="00E23CB4"/>
    <w:rsid w:val="00E23CE7"/>
    <w:rsid w:val="00E3045C"/>
    <w:rsid w:val="00E30CD1"/>
    <w:rsid w:val="00E323CD"/>
    <w:rsid w:val="00E34CBA"/>
    <w:rsid w:val="00E36F2B"/>
    <w:rsid w:val="00E37E1A"/>
    <w:rsid w:val="00E4276E"/>
    <w:rsid w:val="00E44D44"/>
    <w:rsid w:val="00E44FFE"/>
    <w:rsid w:val="00E50662"/>
    <w:rsid w:val="00E51C4F"/>
    <w:rsid w:val="00E57E75"/>
    <w:rsid w:val="00E62861"/>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550C"/>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19738C"/>
    <w:rsid w:val="02622C60"/>
    <w:rsid w:val="03892AFA"/>
    <w:rsid w:val="096931D8"/>
    <w:rsid w:val="0E622A5A"/>
    <w:rsid w:val="149E474A"/>
    <w:rsid w:val="18997F6E"/>
    <w:rsid w:val="255532D2"/>
    <w:rsid w:val="25EC2473"/>
    <w:rsid w:val="31BE141D"/>
    <w:rsid w:val="35C863A1"/>
    <w:rsid w:val="372C3B0E"/>
    <w:rsid w:val="39FC10B4"/>
    <w:rsid w:val="3B8946E0"/>
    <w:rsid w:val="3C7F4A77"/>
    <w:rsid w:val="4F9B33E8"/>
    <w:rsid w:val="60FE6B2D"/>
    <w:rsid w:val="630100D1"/>
    <w:rsid w:val="669C40F3"/>
    <w:rsid w:val="7F194C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paragraph" w:customStyle="1" w:styleId="6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2E75B6"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4" Type="http://schemas.openxmlformats.org/officeDocument/2006/relationships/fontTable" Target="fontTable.xml"/><Relationship Id="rId23" Type="http://schemas.openxmlformats.org/officeDocument/2006/relationships/customXml" Target="../customXml/item1.xml"/><Relationship Id="rId22" Type="http://schemas.openxmlformats.org/officeDocument/2006/relationships/numbering" Target="numbering.xml"/><Relationship Id="rId21" Type="http://schemas.openxmlformats.org/officeDocument/2006/relationships/image" Target="media/image3.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2.jpeg"/><Relationship Id="rId18" Type="http://schemas.openxmlformats.org/officeDocument/2006/relationships/image" Target="media/image1.jpeg"/><Relationship Id="rId17" Type="http://schemas.openxmlformats.org/officeDocument/2006/relationships/theme" Target="theme/theme1.xml"/><Relationship Id="rId16" Type="http://schemas.openxmlformats.org/officeDocument/2006/relationships/footer" Target="footer7.xml"/><Relationship Id="rId15" Type="http://schemas.openxmlformats.org/officeDocument/2006/relationships/header" Target="header7.xml"/><Relationship Id="rId14" Type="http://schemas.openxmlformats.org/officeDocument/2006/relationships/footer" Target="footer6.xml"/><Relationship Id="rId13" Type="http://schemas.openxmlformats.org/officeDocument/2006/relationships/header" Target="header6.xml"/><Relationship Id="rId12" Type="http://schemas.openxmlformats.org/officeDocument/2006/relationships/footer" Target="footer5.xml"/><Relationship Id="rId11" Type="http://schemas.openxmlformats.org/officeDocument/2006/relationships/header" Target="header5.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A3139-C47F-4AFC-A74A-EADF07529A7B}">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1531</Words>
  <Characters>8733</Characters>
  <Lines>72</Lines>
  <Paragraphs>20</Paragraphs>
  <TotalTime>2</TotalTime>
  <ScaleCrop>false</ScaleCrop>
  <LinksUpToDate>false</LinksUpToDate>
  <CharactersWithSpaces>10244</CharactersWithSpaces>
  <Application>WPS Office_11.8.2.11718_F1E327BC-269C-435d-A152-05C5408002CA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2021-03-29T01:33:00Z</dcterms:created>
  <dc:creator>Mandy.Z</dc:creator>
  <cp:lastModifiedBy>小凌</cp:lastModifiedBy>
  <cp:lastPrinted>2017-10-31T06:33:00Z</cp:lastPrinted>
  <dcterms:modified xsi:type="dcterms:W3CDTF">2024-03-27T09:06:39Z</dcterms:modified>
  <dc:title>___证券投资基金招募说明书1</dc:title>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2052-11.8.2.11718</vt:lpwstr>
  </property>
  <property fmtid="{D5CDD505-2E9C-101B-9397-08002B2CF9AE}" pid="3" name="ICV">
    <vt:lpwstr>C32D81A215754ADF9BB9D8DAEE47718A</vt:lpwstr>
  </property>
</Properties>
</file>