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13"/>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理财产品管理人：兴银理财有限责任公司</w:t>
      </w: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Fonts w:ascii="宋体" w:hAnsi="宋体"/>
          <w:b/>
          <w:bCs/>
          <w:sz w:val="28"/>
          <w:szCs w:val="28"/>
        </w:rPr>
        <w:t>【2023】年【</w:t>
      </w:r>
      <w:r>
        <w:rPr>
          <w:rFonts w:hint="eastAsia" w:ascii="宋体" w:hAnsi="宋体"/>
          <w:b/>
          <w:bCs/>
          <w:sz w:val="28"/>
          <w:szCs w:val="28"/>
          <w:lang w:val="en-US" w:eastAsia="zh-CN"/>
        </w:rPr>
        <w:t>8</w:t>
      </w:r>
      <w:r>
        <w:rPr>
          <w:rFonts w:ascii="宋体" w:hAnsi="宋体"/>
          <w:b/>
          <w:bCs/>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hint="eastAsia" w:asciiTheme="majorEastAsia" w:hAnsiTheme="majorEastAsia" w:eastAsiaTheme="majorEastAsia"/>
                <w:bCs/>
                <w:kern w:val="0"/>
                <w:sz w:val="18"/>
                <w:szCs w:val="18"/>
                <w:lang w:val="en-US" w:eastAsia="zh-CN"/>
              </w:rPr>
            </w:pPr>
            <w:r>
              <w:rPr>
                <w:rFonts w:hint="eastAsia" w:asciiTheme="majorEastAsia" w:hAnsiTheme="majorEastAsia" w:eastAsiaTheme="majorEastAsia"/>
                <w:bCs/>
                <w:kern w:val="0"/>
                <w:sz w:val="18"/>
                <w:szCs w:val="18"/>
                <w:lang w:val="en-US" w:eastAsia="zh-CN"/>
              </w:rPr>
              <w:t>【兴银添利天天利3号C（福建农信专属）】（适用【C】类份额）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hint="eastAsia" w:asciiTheme="majorEastAsia" w:hAnsiTheme="majorEastAsia" w:eastAsiaTheme="majorEastAsia"/>
                <w:bCs/>
                <w:kern w:val="0"/>
                <w:sz w:val="18"/>
                <w:szCs w:val="18"/>
                <w:lang w:val="en-US" w:eastAsia="zh-CN"/>
              </w:rPr>
            </w:pPr>
            <w:r>
              <w:rPr>
                <w:rFonts w:hint="eastAsia" w:asciiTheme="majorEastAsia" w:hAnsiTheme="majorEastAsia" w:eastAsiaTheme="majorEastAsia"/>
                <w:bCs/>
                <w:kern w:val="0"/>
                <w:sz w:val="18"/>
                <w:szCs w:val="18"/>
                <w:lang w:val="en-US" w:eastAsia="zh-CN"/>
              </w:rPr>
              <w:t>【Z7002023000413】注：投资者可依据理财产品登记编码在中国理财网查询产品信息</w:t>
            </w:r>
            <w:r>
              <w:rPr>
                <w:rFonts w:hint="eastAsia" w:asciiTheme="majorEastAsia" w:hAnsiTheme="majorEastAsia" w:eastAsiaTheme="majorEastAsia"/>
                <w:bCs/>
                <w:kern w:val="0"/>
                <w:sz w:val="18"/>
                <w:szCs w:val="18"/>
                <w:lang w:val="en-US" w:eastAsia="zh-CN"/>
              </w:rPr>
              <w:fldChar w:fldCharType="begin"/>
            </w:r>
            <w:r>
              <w:rPr>
                <w:rFonts w:hint="eastAsia" w:asciiTheme="majorEastAsia" w:hAnsiTheme="majorEastAsia" w:eastAsiaTheme="majorEastAsia"/>
                <w:bCs/>
                <w:kern w:val="0"/>
                <w:sz w:val="18"/>
                <w:szCs w:val="18"/>
                <w:lang w:val="en-US" w:eastAsia="zh-CN"/>
              </w:rPr>
              <w:instrText xml:space="preserve"> HYPERLINK "http://www.chinawealth.com.cn" </w:instrText>
            </w:r>
            <w:r>
              <w:rPr>
                <w:rFonts w:hint="eastAsia" w:asciiTheme="majorEastAsia" w:hAnsiTheme="majorEastAsia" w:eastAsiaTheme="majorEastAsia"/>
                <w:bCs/>
                <w:kern w:val="0"/>
                <w:sz w:val="18"/>
                <w:szCs w:val="18"/>
                <w:lang w:val="en-US" w:eastAsia="zh-CN"/>
              </w:rPr>
              <w:fldChar w:fldCharType="separate"/>
            </w:r>
            <w:r>
              <w:rPr>
                <w:rFonts w:hint="eastAsia" w:asciiTheme="majorEastAsia" w:hAnsiTheme="majorEastAsia" w:eastAsiaTheme="majorEastAsia"/>
                <w:bCs/>
                <w:kern w:val="0"/>
                <w:sz w:val="18"/>
                <w:szCs w:val="18"/>
                <w:lang w:val="en-US" w:eastAsia="zh-CN"/>
              </w:rPr>
              <w:t>www.chinawealth.com.cn</w:t>
            </w:r>
            <w:r>
              <w:rPr>
                <w:rFonts w:hint="eastAsia" w:asciiTheme="majorEastAsia" w:hAnsiTheme="majorEastAsia" w:eastAsiaTheme="majorEastAsia"/>
                <w:bCs/>
                <w:kern w:val="0"/>
                <w:sz w:val="18"/>
                <w:szCs w:val="18"/>
                <w:lang w:val="en-US" w:eastAsia="zh-CN"/>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hint="eastAsia" w:asciiTheme="majorEastAsia" w:hAnsiTheme="majorEastAsia" w:eastAsiaTheme="majorEastAsia"/>
                <w:bCs/>
                <w:kern w:val="0"/>
                <w:sz w:val="18"/>
                <w:szCs w:val="18"/>
                <w:lang w:val="en-US" w:eastAsia="zh-CN"/>
              </w:rPr>
            </w:pPr>
            <w:r>
              <w:rPr>
                <w:rFonts w:hint="eastAsia" w:asciiTheme="majorEastAsia" w:hAnsiTheme="majorEastAsia" w:eastAsiaTheme="majorEastAsia"/>
                <w:bCs/>
                <w:kern w:val="0"/>
                <w:sz w:val="18"/>
                <w:szCs w:val="18"/>
                <w:lang w:val="en-US" w:eastAsia="zh-CN"/>
              </w:rPr>
              <w:t>【9TTL0030】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hint="eastAsia" w:asciiTheme="majorEastAsia" w:hAnsiTheme="majorEastAsia" w:eastAsiaTheme="majorEastAsia"/>
                <w:bCs/>
                <w:kern w:val="0"/>
                <w:sz w:val="18"/>
                <w:szCs w:val="18"/>
                <w:lang w:val="en-US" w:eastAsia="zh-CN"/>
              </w:rPr>
            </w:pPr>
            <w:r>
              <w:rPr>
                <w:rFonts w:hint="eastAsia" w:asciiTheme="majorEastAsia" w:hAnsiTheme="majorEastAsia" w:eastAsiaTheme="majorEastAsia"/>
                <w:bCs/>
                <w:kern w:val="0"/>
                <w:sz w:val="18"/>
                <w:szCs w:val="18"/>
                <w:lang w:val="en-US" w:eastAsia="zh-CN"/>
              </w:rPr>
              <w:t>【9TTL003C】（适用【C】类份额）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12"/>
              <w:rFonts w:hint="eastAsia"/>
            </w:rPr>
            <w:t>第一条</w:t>
          </w:r>
          <w:r>
            <w:rPr>
              <w:rStyle w:val="12"/>
            </w:rPr>
            <w:t xml:space="preserve">  </w:t>
          </w:r>
          <w:r>
            <w:rPr>
              <w:rStyle w:val="12"/>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12"/>
              <w:rFonts w:hint="eastAsia"/>
            </w:rPr>
            <w:t>第二条</w:t>
          </w:r>
          <w:r>
            <w:rPr>
              <w:rStyle w:val="12"/>
            </w:rPr>
            <w:t xml:space="preserve">  </w:t>
          </w:r>
          <w:r>
            <w:rPr>
              <w:rStyle w:val="12"/>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12"/>
              <w:rFonts w:hint="eastAsia"/>
            </w:rPr>
            <w:t>第三条</w:t>
          </w:r>
          <w:r>
            <w:rPr>
              <w:rStyle w:val="12"/>
            </w:rPr>
            <w:t xml:space="preserve">  </w:t>
          </w:r>
          <w:r>
            <w:rPr>
              <w:rStyle w:val="12"/>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12"/>
              <w:rFonts w:hint="eastAsia"/>
            </w:rPr>
            <w:t>第四条</w:t>
          </w:r>
          <w:r>
            <w:rPr>
              <w:rStyle w:val="12"/>
            </w:rPr>
            <w:t xml:space="preserve">  </w:t>
          </w:r>
          <w:r>
            <w:rPr>
              <w:rStyle w:val="12"/>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12"/>
              <w:rFonts w:hint="eastAsia"/>
            </w:rPr>
            <w:t>第五条</w:t>
          </w:r>
          <w:r>
            <w:rPr>
              <w:rStyle w:val="12"/>
            </w:rPr>
            <w:t xml:space="preserve">  </w:t>
          </w:r>
          <w:r>
            <w:rPr>
              <w:rStyle w:val="12"/>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12"/>
              <w:rFonts w:hint="eastAsia"/>
            </w:rPr>
            <w:t>第六条</w:t>
          </w:r>
          <w:r>
            <w:rPr>
              <w:rStyle w:val="12"/>
            </w:rPr>
            <w:t xml:space="preserve">  </w:t>
          </w:r>
          <w:r>
            <w:rPr>
              <w:rStyle w:val="12"/>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12"/>
              <w:rFonts w:hint="eastAsia"/>
            </w:rPr>
            <w:t>第七条</w:t>
          </w:r>
          <w:r>
            <w:rPr>
              <w:rStyle w:val="12"/>
            </w:rPr>
            <w:t xml:space="preserve">  </w:t>
          </w:r>
          <w:r>
            <w:rPr>
              <w:rStyle w:val="12"/>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15"/>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Fonts w:ascii="宋体" w:hAnsi="宋体" w:cs="Times New Roman"/>
          <w:b/>
          <w:bCs/>
          <w:sz w:val="32"/>
          <w:szCs w:val="32"/>
        </w:rPr>
        <w:t>【2023】年【</w:t>
      </w:r>
      <w:r>
        <w:rPr>
          <w:rFonts w:hint="eastAsia" w:ascii="宋体" w:hAnsi="宋体" w:cs="Times New Roman"/>
          <w:b/>
          <w:bCs/>
          <w:sz w:val="32"/>
          <w:szCs w:val="32"/>
          <w:lang w:val="en-US" w:eastAsia="zh-CN"/>
        </w:rPr>
        <w:t>8</w:t>
      </w:r>
      <w:r>
        <w:rPr>
          <w:rFonts w:ascii="宋体" w:hAnsi="宋体" w:cs="Times New Roman"/>
          <w:b/>
          <w:bCs/>
          <w:sz w:val="32"/>
          <w:szCs w:val="32"/>
        </w:rPr>
        <w:t>】月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r>
            <w:rPr>
              <w:lang w:val="zh-CN"/>
            </w:rPr>
            <w:t>目录</w:t>
          </w:r>
        </w:p>
        <w:p>
          <w:pPr>
            <w:pStyle w:val="5"/>
            <w:tabs>
              <w:tab w:val="right" w:leader="dot" w:pos="8306"/>
              <w:tab w:val="clear" w:pos="829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5"/>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5"/>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5"/>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5"/>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5"/>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5"/>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5"/>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5"/>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5"/>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5" w:type="default"/>
          <w:footerReference r:id="rId6" w:type="default"/>
          <w:type w:val="continuous"/>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lang w:val="en-US" w:eastAsia="zh-CN"/>
              </w:rPr>
              <w:t>【兴银添利天天利3号C（福建农信专属）】（适用【C】类份额）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vAlign w:val="top"/>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lang w:val="en-US" w:eastAsia="zh-CN"/>
              </w:rPr>
              <w:t>【Z7002023000413】注：投资者可依据理财产品登记编码在中国理财网查询产品信息</w:t>
            </w:r>
            <w:r>
              <w:rPr>
                <w:rFonts w:hint="eastAsia" w:asciiTheme="majorEastAsia" w:hAnsiTheme="majorEastAsia" w:eastAsiaTheme="majorEastAsia"/>
                <w:bCs/>
                <w:kern w:val="0"/>
                <w:sz w:val="18"/>
                <w:szCs w:val="18"/>
                <w:lang w:val="en-US" w:eastAsia="zh-CN"/>
              </w:rPr>
              <w:fldChar w:fldCharType="begin"/>
            </w:r>
            <w:r>
              <w:rPr>
                <w:rFonts w:hint="eastAsia" w:asciiTheme="majorEastAsia" w:hAnsiTheme="majorEastAsia" w:eastAsiaTheme="majorEastAsia"/>
                <w:bCs/>
                <w:kern w:val="0"/>
                <w:sz w:val="18"/>
                <w:szCs w:val="18"/>
                <w:lang w:val="en-US" w:eastAsia="zh-CN"/>
              </w:rPr>
              <w:instrText xml:space="preserve"> HYPERLINK "http://www.chinawealth.com.cn" </w:instrText>
            </w:r>
            <w:r>
              <w:rPr>
                <w:rFonts w:hint="eastAsia" w:asciiTheme="majorEastAsia" w:hAnsiTheme="majorEastAsia" w:eastAsiaTheme="majorEastAsia"/>
                <w:bCs/>
                <w:kern w:val="0"/>
                <w:sz w:val="18"/>
                <w:szCs w:val="18"/>
                <w:lang w:val="en-US" w:eastAsia="zh-CN"/>
              </w:rPr>
              <w:fldChar w:fldCharType="separate"/>
            </w:r>
            <w:r>
              <w:rPr>
                <w:rFonts w:hint="eastAsia" w:asciiTheme="majorEastAsia" w:hAnsiTheme="majorEastAsia" w:eastAsiaTheme="majorEastAsia"/>
                <w:bCs/>
                <w:kern w:val="0"/>
                <w:sz w:val="18"/>
                <w:szCs w:val="18"/>
                <w:lang w:val="en-US" w:eastAsia="zh-CN"/>
              </w:rPr>
              <w:t>www.chinawealth.com.cn</w:t>
            </w:r>
            <w:r>
              <w:rPr>
                <w:rFonts w:hint="eastAsia" w:asciiTheme="majorEastAsia" w:hAnsiTheme="majorEastAsia" w:eastAsiaTheme="majorEastAsia"/>
                <w:bCs/>
                <w:kern w:val="0"/>
                <w:sz w:val="18"/>
                <w:szCs w:val="18"/>
                <w:lang w:val="en-US" w:eastAsia="zh-CN"/>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lang w:val="en-US" w:eastAsia="zh-CN"/>
              </w:rPr>
              <w:t>【9TTL0030】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top"/>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Cs/>
                <w:kern w:val="0"/>
                <w:sz w:val="18"/>
                <w:szCs w:val="18"/>
                <w:lang w:val="en-US" w:eastAsia="zh-CN"/>
              </w:rPr>
              <w:t>【9TTL003C】（适用【C】类份额）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sym w:font="Wingdings 2" w:char="00A3"/>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color w:val="000000" w:themeColor="text1"/>
                <w:sz w:val="18"/>
                <w:szCs w:val="18"/>
                <w14:textFill>
                  <w14:solidFill>
                    <w14:schemeClr w14:val="tx1"/>
                  </w14:solidFill>
                </w14:textFill>
              </w:rPr>
              <w:sym w:font="Wingdings 2" w:char="00A3"/>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sym w:font="Wingdings 2" w:char="00A3"/>
            </w:r>
            <w:bookmarkStart w:id="1" w:name="_GoBack"/>
            <w:bookmarkEnd w:id="1"/>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 xml:space="preserve">：00】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200000.00</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15"/>
              <w:spacing w:line="360" w:lineRule="auto"/>
              <w:rPr>
                <w:rFonts w:asciiTheme="minorEastAsia" w:hAnsiTheme="minorEastAsia" w:eastAsiaTheme="minorEastAsia"/>
                <w:color w:val="auto"/>
                <w:sz w:val="18"/>
                <w:szCs w:val="18"/>
              </w:rPr>
            </w:pPr>
            <w:r>
              <w:rPr>
                <w:rFonts w:hAnsi="宋体"/>
                <w:sz w:val="18"/>
                <w:szCs w:val="18"/>
              </w:rPr>
              <w:t>（适用【</w:t>
            </w:r>
            <w:r>
              <w:rPr>
                <w:rFonts w:hint="eastAsia" w:hAnsi="宋体"/>
                <w:sz w:val="18"/>
                <w:szCs w:val="18"/>
                <w:lang w:val="en-US" w:eastAsia="zh-CN"/>
              </w:rPr>
              <w:t>C</w:t>
            </w:r>
            <w:r>
              <w:rPr>
                <w:rFonts w:hAnsi="宋体"/>
                <w:sz w:val="18"/>
                <w:szCs w:val="18"/>
              </w:rPr>
              <w:t>】类份额）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500000000.00</w:t>
            </w:r>
            <w:r>
              <w:rPr>
                <w:rFonts w:hint="eastAsia" w:asciiTheme="minorEastAsia" w:hAnsiTheme="minorEastAsia" w:eastAsiaTheme="minorEastAsia"/>
                <w:color w:val="auto"/>
                <w:sz w:val="18"/>
                <w:szCs w:val="18"/>
              </w:rPr>
              <w:t>】份。</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500000000.00</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35pt;width:122.3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w:t>
            </w:r>
            <w:r>
              <w:rPr>
                <w:rFonts w:hint="eastAsia" w:hAnsi="宋体"/>
                <w:sz w:val="18"/>
                <w:szCs w:val="18"/>
                <w:lang w:val="en-US" w:eastAsia="zh-CN"/>
              </w:rPr>
              <w:t>C</w:t>
            </w:r>
            <w:r>
              <w:rPr>
                <w:rFonts w:hAnsi="宋体"/>
                <w:sz w:val="18"/>
                <w:szCs w:val="18"/>
              </w:rPr>
              <w:t>】类份额）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w:t>
            </w:r>
            <w:r>
              <w:rPr>
                <w:rFonts w:hint="eastAsia" w:hAnsi="宋体"/>
                <w:sz w:val="18"/>
                <w:szCs w:val="18"/>
                <w:lang w:val="en-US" w:eastAsia="zh-CN"/>
              </w:rPr>
              <w:t>C</w:t>
            </w:r>
            <w:r>
              <w:rPr>
                <w:rFonts w:hAnsi="宋体"/>
                <w:sz w:val="18"/>
                <w:szCs w:val="18"/>
              </w:rPr>
              <w:t>】类份额）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（二）估值日</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5"/>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5"/>
        <w:spacing w:line="360" w:lineRule="auto"/>
        <w:rPr>
          <w:rFonts w:hAnsi="宋体"/>
          <w:sz w:val="18"/>
          <w:szCs w:val="18"/>
        </w:rPr>
      </w:pPr>
    </w:p>
    <w:p/>
    <w:p/>
    <w:p/>
    <w:p/>
    <w:p/>
    <w:p/>
    <w:p/>
    <w:p/>
    <w:p/>
    <w:p/>
    <w:p/>
    <w:p/>
    <w:p/>
    <w:p/>
    <w:p/>
    <w:p/>
    <w:p/>
    <w:p/>
    <w:p/>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sym w:font="Wingdings 2" w:char="0052"/>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sym w:font="Wingdings 2" w:char="0052"/>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
    <w:p/>
    <w:p/>
    <w:p/>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兴银理财添利天天利3号净值型理财产品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hint="eastAsia" w:asciiTheme="majorEastAsia" w:hAnsiTheme="majorEastAsia" w:eastAsiaTheme="majorEastAsia"/>
          <w:bCs/>
          <w:kern w:val="0"/>
          <w:sz w:val="18"/>
          <w:szCs w:val="18"/>
          <w:lang w:val="en-US" w:eastAsia="zh-CN"/>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lang w:val="en-US" w:eastAsia="zh-CN"/>
        </w:rPr>
        <w:t>【兴银添利天天利3号C（福建农信专属）】（适用【C】类份额）。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Z7002023000413</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福建省农村信用社联合社</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9"/>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
    <w:p/>
    <w:p/>
    <w:p/>
    <w:p/>
    <w:p/>
    <w:p/>
    <w:p/>
    <w:p/>
    <w:p/>
    <w:p/>
    <w:p/>
    <w:p/>
    <w:p/>
    <w:p/>
    <w:p/>
    <w:p/>
    <w:p/>
    <w:p/>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福建省农村信用社联合社</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8"/>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5"/>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autoSpaceDE w:val="0"/>
        <w:autoSpaceDN w:val="0"/>
        <w:adjustRightInd w:val="0"/>
        <w:ind w:firstLine="360" w:firstLineChars="200"/>
        <w:jc w:val="left"/>
        <w:rPr>
          <w:rFonts w:ascii="仿宋_GB2312" w:eastAsia="仿宋_GB2312" w:cs="仿宋_GB2312"/>
          <w:color w:val="000000"/>
          <w:kern w:val="0"/>
          <w:sz w:val="24"/>
          <w:szCs w:val="24"/>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感谢您通过销售机构【兴业银行股份有限公司（以下简称“兴业银行”）】以(□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5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qFormat/>
    <w:uiPriority w:val="99"/>
    <w:rPr>
      <w:color w:val="0000FF"/>
      <w:u w:val="single"/>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2023-08-10T07:31:14Z</dcterms:created>
  <dc:creator>cibfz</dc:creator>
  <cp:lastModifiedBy>cibfz</cp:lastModifiedBy>
  <dcterms:modified xsi:type="dcterms:W3CDTF">2023-08-10T07:44:28Z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